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IQV</w:t>
      </w:r>
      <w:r>
        <w:rPr>
          <w:rFonts w:ascii="Calibri" w:hAnsi="Calibri"/>
          <w:b/>
          <w:color w:val="1A2010"/>
          <w:sz w:val="40"/>
        </w:rPr>
        <w:t xml:space="preserve">  IQVIA Holdings Inc.</w:t>
      </w:r>
    </w:p>
    <w:p>
      <w:pPr>
        <w:spacing w:after="120"/>
      </w:pPr>
      <w:r>
        <w:rPr>
          <w:rFonts w:ascii="Calibri" w:hAnsi="Calibri"/>
          <w:b/>
          <w:color w:val="6E8450"/>
          <w:sz w:val="18"/>
        </w:rPr>
        <w:t>GROWTH SLEEVE · 2026-09-12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NYSE · United States</w:t>
      </w:r>
    </w:p>
    <w:p>
      <w:pPr>
        <w:spacing w:after="80"/>
      </w:pPr>
      <w:r>
        <w:rPr>
          <w:rFonts w:ascii="Calibri" w:hAnsi="Calibri"/>
          <w:b w:val="0"/>
          <w:color w:val="3A4A28"/>
          <w:sz w:val="20"/>
        </w:rPr>
        <w:t>IQVIA Holdings is the world's largest contract research organization (CRO) and healthcare data analytics company, formed from the 2016 merger of IMS Health and Quintiles Transnational. The company operates through R&amp;D Solutions (clinical trial management, decentralized trials, regulatory services) and Commercial Solutions (real-world data analytics, patient engagement, technology platforms), serving 10,000+ life sciences customers across 100+ countries. IQVIA manages a contracted R&amp;D backlog of $34.2B and processes one of the largest proprietary healthcare datasets globally. Q2 2026 revenue reached $4.37B (+8.7% YoY) with raised FY2026 guidance of $17.3-17.5B and adjusted diluted EPS of $12.80-$13.00.</w:t>
      </w:r>
    </w:p>
    <w:p>
      <w:r>
        <w:rPr>
          <w:rFonts w:ascii="Calibri" w:hAnsi="Calibri"/>
          <w:b/>
          <w:color w:val="6E8450"/>
          <w:sz w:val="18"/>
        </w:rPr>
        <w:t>93,000 Employees · https://www.iqvia.com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2016 IMS Health-Quintiles merger created a vertically integrated CRO + data analytics platform that redefined the life sciences services industry, and IQVIA has since expanded meaningfully into AI-driven analytics via the IQVIA.ai platform (built with NVIDIA), deploying 50+ AI agents across workflows and launching decentralized clinical trial capabilities [1][2]. AI Deployment (2/2): IQVIA has a dedicated EVP of AI and Technology Solutions and an AI Transformation Council; CEO Bousbib reported 'innovative AI-enabled offerings gaining traction' with AI-tied demand doubling YoY in Commercial Solutions and tripling in R&amp;D Solutions — these are shipping products driving measurable revenue growth [1][2]. Market Share (2/2): IQVIA is the largest CRO globally by revenue with a proprietary real-world data asset covering billions of anonymized patient records. The $34.2B contracted R&amp;D backlog with Q2 net new bookings of $3.15B (+19% YoY) at 1.22x book-to-bill demonstrates dominant and accelerating market positioning [1]. Pipeline (1/2): The R&amp;D backlog provides multi-year revenue visibility ($9.2B expected 12-month conversion, +7.5% YoY), and IQVIA.ai continues expanding, but specific named next-gen products with launch dates are not publicly disclosed. R&amp;D Intensity (1/1): Significant investment in the IQVIA.ai/NVIDIA technology platform and Connected Intelligence infrastructure represents above-average technology reinvestment for the CRO/healthcare services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IQVIA's purpose — 'to accelerate innovation for a healthier world' with a vision of 'powering smarter healthcare for everyone, everywhere' — clearly connects data and technology capabilities to healthcare improvement, but reads as an interchangeable healthcare-company platitude rather than a distinctively tested philosophy; the combined entity is only a decade old [4]. Community Impact (1/2): IQVIA earned an MSCI ESG rating of A and published a comprehensive ESG Report documenting 31% reduction in Scope 3 emissions, removal of 3,000+ kg of single-use plastics, and employee volunteer programs supporting food banks, disadvantaged students, and stem cell drives [4]. This represents meaningful but not distinctively aligned community investment. Employee Retention (0/2): Glassdoor reviews raise material concerns — multiple employees describe 'toxic work culture,' 'quiet firing' where low ratings drive out employees who don't work weekends, and promotions based on visibility and politics rather than merit [5]. No positive retention metrics were available to offset these signals. Insider Buying (0/2): CEO Ari Bousbib recorded zero purchases and multiple sales totaling approximately $20.6M over the trailing period, with additional intent-to-sell filings — clear net insider selling, not buying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ROE of 22.82% exceeds the 15% target, scoring 1.0 with 2x weight, reflecting efficient capital deployment despite the leveraged structure [3]. Forward P/E of 19.19x is just under the 20x target, scoring 1.0. PEG of 1.68 scores 0.66 with 2x weight — reasonable but penalized for growth rate relative to valuation. Revenue growth YoY of 8.7% scores 0.96, just shy of the 10% target, driven by R&amp;D Solutions (+8.8%) and Commercial Solutions (+8.6%) in Q2 [1]. Revenue 5yr CAGR of ~4% scores 0.60 with 2x weight, reflecting modest organic growth in a mature services market. The primary drag is the elevated D/E of 258% (scoring 0.18 against the 300% floor), reflecting $16B+ total debt from acquisition-driven growth — net leverage of 3.59x adjusted EBITDA is manageable but high [1]. Profit margin of 8.10% scores 0.41, depressed by amortization of acquired intangibles. Weighted composite: 7.07/10, rounding to 7. Liquidity floor easily cleared at ~$335M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IQVIA shows some infinite-game instincts — maintaining AI investment through the IQVIA.ai/NVIDIA platform even as the stock was punished on AI-disruption fears, and connecting strategy to healthcare outcomes. But heavy net insider selling by CEO Bousbib, a young corporate identity (2016 merger), negative employee culture signals on Glassdoor, and competitive language focused on market share dominance rather than purpose-driven endurance place IQVIA in FINITE territory. The company optimizes for adjusted EPS growth and share buybacks ($950M in H1 2026) rather than sacrificing near-term results for long-term capability.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'Accelerate innovation for a healthier world' connects IQVIA's data, analytics, and clinical-trial work to a larger healthcare purpose, and leadership references it when describing the AI strategy [4]. However, the cause has not been tested across multiple decades or a genuine existential crisis under the current corporate entity, formed just a decade ago via a financially motivated merger. Strategic language centers on bookings growth, margin expansion, and $950M in H1 share buybacks rather than advancing a purpose beyond financial performance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surface concerning cultural dynamics — employees describe talent decisions driven by visibility and politics rather than merit, unsaid expectations to work long hours including weekends with low ratings for those who don't comply, 'quiet firing' practices, and a culture that rewards 'internal politics over collaboration and subject matter expertise' [5]. While large companies always attract negative reviews, the consistency of complaints around merit-disconnected advancement and fear-based performance management suggests a low-trust environment that contradicts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IQVIA's competitive language consistently frames its market position in finite terms — 'largest CRO,' 'most comprehensive data,' leadership in bookings and market share. No evidence was found of management commentary referencing learning from rivals like Charles River Laboratories, ICON, or Meddata, or framing competitive dynamics as motivation for self-improvement rather than maintaining dominance.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2016 IMS Health-Quintiles merger combined data analytics with clinical CRO services to create a new integrated model, and the pivot to an AI-native platform (IQVIA.ai with NVIDIA) shows continued strategic adaptation [2]. However, these represent incremental evolutions of the existing data-and-services franchise rather than transformative pivots that abandoned profitable legacy businesses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continued investing in and publicly defending the AI strategy even as the stock dropped 36%+ on AI-disruption fears, rather than retreating to reassure the market — a genuine example of holding a long-term bet under pressure [1][2]. However, the aggressive $950M H1 2026 share buyback program and focus on adjusted EPS growth suggest an optimization-for-earnings mindset that competes for capital with transformative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IQVIA delivered Q2 2026 revenue of $4.37B (+8.7% YoY) with adjusted diluted EPS of $3.15 (+12.1%), raising FY2026 guidance to $17.3-17.5B revenue and $12.80-$13.00 EPS [1]. R&amp;D Solutions net new bookings surged to $3.15B (+19% YoY) at a 1.22x book-to-bill ratio, signaling accelerating demand that should translate to revenue acceleration in 2027-2028 as the $34.2B contracted backlog converts [1]. Commercial Solutions grew 8.6% to $1.79B on AI-enabled analytics and patient engagement demand tied to the IQVIA.ai platform, and R&amp;D Solutions grew 8.8% to $2.58B [1]. At 19.2x forward earnings with the stock recovering from a 36% drawdown, the risk/reward improves if IQVIA proves that AI is a net opportunity — the company has not lost a single trial to AI tools and is monetizing AI-driven demand directly through the NVIDIA partnership [2].</w:t>
      </w:r>
    </w:p>
    <w:p>
      <w:pPr>
        <w:spacing w:after="120"/>
      </w:pPr>
      <w:r>
        <w:rPr>
          <w:rFonts w:ascii="Calibri" w:hAnsi="Calibri"/>
          <w:b w:val="0"/>
          <w:color w:val="3A4A28"/>
          <w:sz w:val="20"/>
        </w:rPr>
        <w:t>The bear case centers on a legitimate, analyst-flagged structural risk: roughly 30% of typical clinical trial costs are tied to functions IQVIA and peer CROs perform (data management, statistical analysis, medical writing), and large pharma sponsors are investing in AI infrastructure that could gradually bring these in-house, eroding the outsourcing model [2]. Elevated leverage at 258% D/E and 3.59x net debt/EBITDA with $16B+ in total debt leaves limited financial flexibility if pricing pressure intensifies or a recession curtails pharma R&amp;D budgets [1]. GAAP profit margin of 8.10% is structurally compressed by $3B+ in acquisition-related intangible amortization, creating earnings quality questions. Heavy net insider selling by CEO Bousbib (~$20.6M over the trailing period, zero purchases) sends a mixed signal on leadership conviction [3]. Glassdoor employee reviews consistently cite toxic culture, favoritism, and quiet-firing practices — organizational dysfunction that risks talent retention in a competitive life sciences labor market [5]. The Inspire Impact Score of 48 (ALIGNED) is a positive for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R&amp;D Solutions bookings acceleration — Q2 net new bookings of $3.15B (+19% YoY) at 1.22x book-to-bill signal improving demand that should translate to revenue acceleration as the $34.2B contracted backlog converts over 2027-2028 [1]</w:t>
      </w:r>
    </w:p>
    <w:p>
      <w:pPr>
        <w:spacing w:before="40" w:after="40"/>
        <w:ind w:left="283"/>
      </w:pPr>
      <w:r>
        <w:rPr>
          <w:rFonts w:ascii="Calibri" w:hAnsi="Calibri"/>
          <w:b/>
          <w:color w:val="4A6B25"/>
          <w:sz w:val="20"/>
        </w:rPr>
        <w:t xml:space="preserve">2. </w:t>
      </w:r>
      <w:r>
        <w:rPr>
          <w:rFonts w:ascii="Calibri" w:hAnsi="Calibri"/>
          <w:b w:val="0"/>
          <w:color w:val="3A4A28"/>
          <w:sz w:val="20"/>
        </w:rPr>
        <w:t>AI-enabled Commercial Solutions gaining traction via IQVIA.ai/NVIDIA platform, with AI-driven demand doubling YoY in Commercial and tripling in R&amp;D Solutions, validating the AI-as-enabler thesis against disruption fears [2]</w:t>
      </w:r>
    </w:p>
    <w:p>
      <w:pPr>
        <w:spacing w:before="40" w:after="40"/>
        <w:ind w:left="283"/>
      </w:pPr>
      <w:r>
        <w:rPr>
          <w:rFonts w:ascii="Calibri" w:hAnsi="Calibri"/>
          <w:b/>
          <w:color w:val="4A6B25"/>
          <w:sz w:val="20"/>
        </w:rPr>
        <w:t xml:space="preserve">3. </w:t>
      </w:r>
      <w:r>
        <w:rPr>
          <w:rFonts w:ascii="Calibri" w:hAnsi="Calibri"/>
          <w:b w:val="0"/>
          <w:color w:val="3A4A28"/>
          <w:sz w:val="20"/>
        </w:rPr>
        <w:t>Raised FY2026 guidance ($17.3-17.5B revenue, $12.80-$13.00 adjusted EPS) suggests management confidence in sustained mid-to-high single-digit organic growth with operating leverage expanding adjusted EBITDA margins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AI disintermediation risk — large pharma sponsors bringing ~30% of typically outsourced clinical trial cost functions in-house using AI tools, directly threatening the core CRO revenue model as flagged by multiple analysts [2]</w:t>
      </w:r>
    </w:p>
    <w:p>
      <w:pPr>
        <w:spacing w:before="40" w:after="40"/>
        <w:ind w:left="283"/>
      </w:pPr>
      <w:r>
        <w:rPr>
          <w:rFonts w:ascii="Calibri" w:hAnsi="Calibri"/>
          <w:b/>
          <w:color w:val="4A6B25"/>
          <w:sz w:val="20"/>
        </w:rPr>
        <w:t xml:space="preserve">2. </w:t>
      </w:r>
      <w:r>
        <w:rPr>
          <w:rFonts w:ascii="Calibri" w:hAnsi="Calibri"/>
          <w:b w:val="0"/>
          <w:color w:val="3A4A28"/>
          <w:sz w:val="20"/>
        </w:rPr>
        <w:t>Elevated leverage at 258% D/E and 3.59x net debt/EBITDA with $16B+ total debt leaves limited buffer if bookings decelerate, trial volumes decline, or interest costs rise in a higher-for-longer rate environment [1]</w:t>
      </w:r>
    </w:p>
    <w:p>
      <w:pPr>
        <w:spacing w:before="40" w:after="40"/>
        <w:ind w:left="283"/>
      </w:pPr>
      <w:r>
        <w:rPr>
          <w:rFonts w:ascii="Calibri" w:hAnsi="Calibri"/>
          <w:b/>
          <w:color w:val="4A6B25"/>
          <w:sz w:val="20"/>
        </w:rPr>
        <w:t xml:space="preserve">3. </w:t>
      </w:r>
      <w:r>
        <w:rPr>
          <w:rFonts w:ascii="Calibri" w:hAnsi="Calibri"/>
          <w:b w:val="0"/>
          <w:color w:val="3A4A28"/>
          <w:sz w:val="20"/>
        </w:rPr>
        <w:t>Cultural dysfunction evidenced by Glassdoor reviews describing merit-disconnected promotions, quiet-firing practices, and pressure to work excessive hours creates talent retention risk in a specialized labor market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IQVIA's core CRO business — managing physical clinical trials, patient recruitment, site monitoring, regulatory filings, drug safety reporting — involves deeply regulated FDA/EMA processes with massive switching costs that AI cannot easily displace [1]. The proprietary healthcare dataset covering billions of anonymized patient records across 100+ countries represents a data moat competitors cannot quickly replicate. Management states IQVIA has not lost a single trial to AI tools. However, analysts have flagged that ~30% of typical clinical trial costs (data management, statistical analysis, medical writing) could be brought in-house by pharma sponsors using AI, and the stock dropped 36%+ from its 52-week high amid this debate [2]. Commercial Solutions analytics face moderate exposure as generative AI enables some in-house pharma analytics. AI Opportunity (1/1): IQVIA generates quantifiable AI revenue through IQVIA.ai (built with NVIDIA), with management citing AI-driven demand doubling YoY in Commercial Solutions and tripling in R&amp;D Solutions in Q1 2026, plus the AI Transformation Council and EVP of AI roles demonstrate organizational commitment to AI monetization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IQVIA Q2 2026 Earnings Press Release — Revenue $4,368M (+8.7%), Adjusted Diluted EPS $3.15 (+12.1%), R&amp;D Solutions Net New Bookings $3.15B (+19%), Backlog $34.2B, Raised FY2026 Guidance, July 2026</w:t>
      </w:r>
    </w:p>
    <w:p>
      <w:pPr>
        <w:spacing w:before="20" w:after="20"/>
        <w:ind w:left="170"/>
      </w:pPr>
      <w:r>
        <w:rPr>
          <w:rFonts w:ascii="Calibri" w:hAnsi="Calibri"/>
          <w:b/>
          <w:color w:val="4A6B25"/>
          <w:sz w:val="15"/>
        </w:rPr>
        <w:t xml:space="preserve">2. </w:t>
      </w:r>
      <w:r>
        <w:rPr>
          <w:rFonts w:ascii="Calibri" w:hAnsi="Calibri"/>
          <w:b w:val="0"/>
          <w:color w:val="3A4A28"/>
          <w:sz w:val="17"/>
        </w:rPr>
        <w:t>IQVIA Q1 2026 Earnings Report and AI Strategy — Revenue $4,151M (+8.4%), IQVIA.ai/NVIDIA Platform, AI-Driven Demand Acceleration, May 2026; Investing.com/Yahoo Finance AI Disruption Analysis,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IQV Key Statistics: Forward P/E 19.19x, ROE 22.82%, D/E 258%, Profit Margin 8.10%, PEG 1.68, Stock Price $258.17, Insider Selling Data,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IQVIA 2023 ESG Report — MSCI ESG Rating A, 31% Scope 3 Emissions Reduction, Community Programs; IQVIA Mission/Purpose Statement, iqvia.com,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Employee Reviews — IQVIA Culture Reviews Citing Favoritism, Merit-Disconnected Promotions, Quiet-Firing Practices,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