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IRM</w:t>
      </w:r>
      <w:r>
        <w:rPr>
          <w:rFonts w:ascii="Calibri" w:hAnsi="Calibri"/>
          <w:b/>
          <w:color w:val="1A2010"/>
          <w:sz w:val="40"/>
        </w:rPr>
        <w:t xml:space="preserve">  Iron Mountain Incorporated</w:t>
      </w:r>
    </w:p>
    <w:p>
      <w:pPr>
        <w:spacing w:after="120"/>
      </w:pPr>
      <w:r>
        <w:rPr>
          <w:rFonts w:ascii="Calibri" w:hAnsi="Calibri"/>
          <w:b/>
          <w:color w:val="6E8450"/>
          <w:sz w:val="18"/>
        </w:rPr>
        <w:t>DIVIDEND SLEEVE · 2026-09-13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Specialty · NYSE · United States</w:t>
      </w:r>
    </w:p>
    <w:p>
      <w:pPr>
        <w:spacing w:after="80"/>
      </w:pPr>
      <w:r>
        <w:rPr>
          <w:rFonts w:ascii="Calibri" w:hAnsi="Calibri"/>
          <w:b w:val="0"/>
          <w:color w:val="3A4A28"/>
          <w:sz w:val="20"/>
        </w:rPr>
        <w:t>Iron Mountain is a global leader in information management services trusted by 245,000+ customers in 60+ countries, including 95% of the Fortune 1000. The company operates physical records storage, data center colocation, digital transformation, and asset lifecycle management (ALM) businesses. Organized as a REIT since 2014, IRM is an S&amp;P 500 constituent headquartered in Boston. Q2 2026 revenue reached $2.0B (+18.5% YoY), with growth businesses (data center, digital, ALM) comprising 35% of revenue and collectively growing 50%+ YoY. FY2026 revenue guidance was raised to $7.94B-$8.01B.</w:t>
      </w:r>
    </w:p>
    <w:p>
      <w:r>
        <w:rPr>
          <w:rFonts w:ascii="Calibri" w:hAnsi="Calibri"/>
          <w:b/>
          <w:color w:val="6E8450"/>
          <w:sz w:val="18"/>
        </w:rPr>
        <w:t>29,400 Employees · https://www.ironmountain.com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Iron Mountain has executed a transformative pivot from legacy physical records storage into a high-growth data center and digital services platform. Q2 2026 revenue hit $2.0B (+18.5% YoY reported, +16.8% organic), building on Q1's record $1.9B (+21.6%), with growth businesses (data center, digital, ALM) collectively growing more than 50% YoY and now comprising 35% of total revenue [1]. ALM revenue is approaching $1B annually. The transformation has fundamentally redefined the company's identity and revenue mix. AI Deployment (1/2): Won top honors for AI Implementation at the 2025 Mass Technology Leadership Council Tech Top 50 Awards; the InSight Digital Experience Platform integrates AI for intelligent document classification and information lifecycle management, though specific AI-driven revenue gains have not been quantified [4]. Market Share (1/2): Global leader in physical records management with 95% Fortune 1000 penetration and 245,000+ customers, but in data centers IRM remains a smaller player relative to Equinix and Digital Realty despite rapid growth [1]. Product Pipeline (1/2): Data center capacity pipeline continues to expand with FY2026 revenue guidance raised to $7.94B-$8.01B, up from $7.83-$7.93B earlier in the year, representing ~16% annual growth [1]. R&amp;D Intensity (0/1): As a REIT, Iron Mountain does not disclose traditional R&amp;D spending; capital allocation is capex-driven for data center construction rather than R&amp;D-intensive.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Iron Mountain's mission — 'We protect what our customers value most, from the everyday to the extraordinary' — is clear and connects the company's work to preservation and stewardship, but does not articulate a transformative vision of a future state or differentiate meaningfully from information management peers [4]. Community Impact (1/2): Listed on FTSE4Good Index for eight consecutive years, received 100% on Human Rights Campaign Corporate Equality Index for four consecutive years, joined RE100 for 100% renewable energy commitment, and approved by Science Based Targets initiative for GHG reduction — genuine but general corporate responsibility programs without specific charitable dollar amounts cited [5]. Employee Retention (1/2): Executive team rated A+ by Comparably placing it in the Top 5% of companies with 10,000+ employees, and the 'mates take care of mates' culture is cited as an organizational differentiator [4]. However, Glassdoor reviews describe 'compliance-first culture' with 'bureaucracy and manager strain, slower decisions, inconsistent coaching,' and a separate Comparably cohort rated leadership C+ [2]. Insider Buying (0/2): Net insider selling dominates — 33 insider sells versus 1 buy over the past year; CEO Meaney exercised options and sold 38,474 shares at $122-$126; SVP and Chief Accounting Officer Daniel Borges sold all directly held shares to zero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D/E and ROE (both meaningless for this REIT with negative shareholders' equity from accumulated depreciation and distributions). Q2 2026 delivered $2.0B quarterly revenue (+18.5% YoY reported), with H1 2026 total revenue up 20% YoY, and FY2026 guidance raised to $7.94B-$8.01B [1]. Revenue growth is exceptional: ~19% YoY and ~12% 5-year CAGR, both well above targets. Forward P/E of 45.50 is elevated, reflecting growth-REIT premium pricing (scores 0.36). Profit margin of ~2% on a GAAP basis is very weak (scores 0.10), heavily depressed by REIT depreciation — FFO-based profitability is significantly stronger. GAAP payout ratio exceeds 600% (scores 0.0) though FFO-based payout is sustainable at ~60%. Dividend yield of 2.71% with 17 consecutive years paid (scores 1.0 at 2x weight) and 6.91% 5-year dividend growth CAGR (scores 1.0 at 2x weight) anchor the dividend metrics. Consecutive years of dividend growth increased to 4 (scores 0.4). Liquidity floor easily cleared at ~$437M daily traded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Iron Mountain demonstrates meaningful existential flexibility — the transformation from records storage to data center powerhouse is one of the most successful REIT pivots in recent history. However, the pivot was driven primarily by market opportunity (declining physical records demand, booming data center economics) rather than a deeply held Just Cause. Heavy insider selling and compliance-heavy culture suggest an organization optimizing for near-term value realization alongside long-term infrastructure investment.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Iron Mountain's mission of 'protecting what customers value most' is a serviceable business description but does not articulate a vision of a future state that does not yet exist [4]. The data center pivot was driven by market opportunity and the secular decline of physical records, not by a purpose that demanded transformation. Leadership references 'growth,' 'shareholder value,' and 'market opportunity' in strategic communications rather than a cause that transcends the business.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Meaney has provided leadership stability since 2013, and the executive team received an A+ rating from Comparably placing it in the Top 5% of large companies [4]. However, Glassdoor reviews describe a 'compliance-first culture' with 'bureaucracy and manager strain' and 'slower decisions, inconsistent coaching, and tighter control' as leadership prioritizes data center build milestones [2]. A separate Comparably cohort rated leadership C+, suggesting organizational trust varies significantly by level and function within the 29,400-employee workforce.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Iron Mountain management acknowledging competitors' strengths or framing competition as motivation for self-improvement. The company positions itself against hyperscalers (AWS, Azure, Google Cloud) and data center pure-plays (Equinix, Digital Realty) in competitive terms focused on 'winning' colocation contracts and capturing market share rather than learning from rivals' advantages.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Iron Mountain has fundamentally reinvented itself from a physical records storage company into a data center and digital services platform — growth businesses (data center, digital, ALM) collectively grew over 50% YoY and now comprise 35% of revenue, driving the company's valuation and growth narrative [1]. The company invested billions in data center capacity while its legacy business was still profitable, deliberately transforming its identity. Data center revenue of $263M in Q2 2026 (+39% YoY) and ALM approaching $1B annually confirm this is genuine business model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Meaney committed billions to data center infrastructure while the legacy records storage business still generated stable, profitable cash flow — a meaningful bet on long-term capability over near-term dividend maximization [1]. The successive guidance raises in FY2026 (now $7.94B-$8.01B) validate the investment thesis. However, the data center opportunity has been consensus-validated for several years, reducing the ongoing courage cost — the market is rewarding, not punishing, this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Iron Mountain is executing a compelling transformation with Q2 2026 revenue of $2.0B (+18.5% YoY) and raised FY2026 guidance to $7.94B-$8.01B [1]. Growth businesses now represent 35% of revenue, growing 50%+ collectively, with data center revenue surging 39% YoY to $263M and ALM approaching $1B annually. H1 2026 revenue of $3.9B is up 20% YoY. Q2 Adjusted EBITDA of $727M (+15.7%) and AFFO of $433M ($1.44/share, +17%) demonstrate improving cash flow generation [1]. The legacy records storage business provides highly recurring revenue across 245,000+ customers (95% Fortune 1000 penetration) while data centers deliver high-margin growth. Dividend yield of 2.71% with 6.91% 5-year growth CAGR provides income while the transformation plays out. IRM is uniquely positioned at the intersection of physical information protection and digital infrastructure, benefiting directly from AI-driven data center demand.</w:t>
      </w:r>
    </w:p>
    <w:p>
      <w:pPr>
        <w:spacing w:after="120"/>
      </w:pPr>
      <w:r>
        <w:rPr>
          <w:rFonts w:ascii="Calibri" w:hAnsi="Calibri"/>
          <w:b w:val="0"/>
          <w:color w:val="3A4A28"/>
          <w:sz w:val="20"/>
        </w:rPr>
        <w:t>The primary concern is valuation relative to GAAP earnings quality. Forward P/E of 45.5x prices IRM as a high-growth technology company despite generating only ~2% GAAP net margin, relying entirely on FFO-based valuation [2]. Any deceleration in data center leasing velocity could compress the growth multiple severely. Negative shareholders' equity and $19.1B in REIT leverage create balance sheet vulnerability in a higher-rate environment, increasing the cost of capital for the data center buildout program. Heavy insider selling — 33 sells versus 1 buy over the past year, including the CEO selling 38,474 shares and the chief accounting officer liquidating all directly held shares — signals that management may view the stock as fully valued at current levels [3]. Only 4 consecutive years of dividend growth is thin relative to dividend REIT peers, and the GAAP payout ratio exceeding 600% means dividend sustainability depends entirely on FFO generation exceeding depreciation charges.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revenue inflection as AI-driven hyperscaler demand accelerates — $263M in Q2 2026 (+39% YoY) with significant capacity pipeline supporting continued 25%+ growth through 2027 [1]</w:t>
      </w:r>
    </w:p>
    <w:p>
      <w:pPr>
        <w:spacing w:before="40" w:after="40"/>
        <w:ind w:left="283"/>
      </w:pPr>
      <w:r>
        <w:rPr>
          <w:rFonts w:ascii="Calibri" w:hAnsi="Calibri"/>
          <w:b/>
          <w:color w:val="4A6B25"/>
          <w:sz w:val="20"/>
        </w:rPr>
        <w:t xml:space="preserve">2. </w:t>
      </w:r>
      <w:r>
        <w:rPr>
          <w:rFonts w:ascii="Calibri" w:hAnsi="Calibri"/>
          <w:b w:val="0"/>
          <w:color w:val="3A4A28"/>
          <w:sz w:val="20"/>
        </w:rPr>
        <w:t>FY2026 revenue guidance raised twice to $7.94B-$8.01B, reflecting accelerating demand across data center, digital, and ALM segments that collectively grew 50%+ in both Q1 and Q2 2026 [1]</w:t>
      </w:r>
    </w:p>
    <w:p>
      <w:pPr>
        <w:spacing w:before="40" w:after="40"/>
        <w:ind w:left="283"/>
      </w:pPr>
      <w:r>
        <w:rPr>
          <w:rFonts w:ascii="Calibri" w:hAnsi="Calibri"/>
          <w:b/>
          <w:color w:val="4A6B25"/>
          <w:sz w:val="20"/>
        </w:rPr>
        <w:t xml:space="preserve">3. </w:t>
      </w:r>
      <w:r>
        <w:rPr>
          <w:rFonts w:ascii="Calibri" w:hAnsi="Calibri"/>
          <w:b w:val="0"/>
          <w:color w:val="3A4A28"/>
          <w:sz w:val="20"/>
        </w:rPr>
        <w:t>Cross-sell potential from converting 245,000+ legacy records management customers to higher-margin digital solutions using the AI-powered InSight platform, with ALM approaching $1B annual revenue as a third growth leg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45.5x and GAAP payout ratio exceeding 600% leave minimal margin of safety — any deceleration in data center leasing velocity or hyperscaler capex pauses could trigger significant multiple compression</w:t>
      </w:r>
    </w:p>
    <w:p>
      <w:pPr>
        <w:spacing w:before="40" w:after="40"/>
        <w:ind w:left="283"/>
      </w:pPr>
      <w:r>
        <w:rPr>
          <w:rFonts w:ascii="Calibri" w:hAnsi="Calibri"/>
          <w:b/>
          <w:color w:val="4A6B25"/>
          <w:sz w:val="20"/>
        </w:rPr>
        <w:t xml:space="preserve">2. </w:t>
      </w:r>
      <w:r>
        <w:rPr>
          <w:rFonts w:ascii="Calibri" w:hAnsi="Calibri"/>
          <w:b w:val="0"/>
          <w:color w:val="3A4A28"/>
          <w:sz w:val="20"/>
        </w:rPr>
        <w:t>Heavy insider selling (33 sells vs 1 buy, CEO sold 38,474 shares, CAO sold 100% of holdings) raises questions about management's view of intrinsic value at current prices relative to the growth story [3]</w:t>
      </w:r>
    </w:p>
    <w:p>
      <w:pPr>
        <w:spacing w:before="40" w:after="40"/>
        <w:ind w:left="283"/>
      </w:pPr>
      <w:r>
        <w:rPr>
          <w:rFonts w:ascii="Calibri" w:hAnsi="Calibri"/>
          <w:b/>
          <w:color w:val="4A6B25"/>
          <w:sz w:val="20"/>
        </w:rPr>
        <w:t xml:space="preserve">3. </w:t>
      </w:r>
      <w:r>
        <w:rPr>
          <w:rFonts w:ascii="Calibri" w:hAnsi="Calibri"/>
          <w:b w:val="0"/>
          <w:color w:val="3A4A28"/>
          <w:sz w:val="20"/>
        </w:rPr>
        <w:t>Competition from larger data center pure-plays (Equinix, Digital Realty) and hyperscalers with deeper pockets and greater scale could limit IRM's ability to win contracts at attractive returns on the multi-billion capital deployment program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Iron Mountain's core business is structurally protected from AI disruption across multiple vectors. Physical records storage — vaults, warehouses, secure shredding — involves physical-world operations under regulatory mandates that AI cannot substitute [1]. The rapidly growing data center segment is a direct beneficiary of AI expansion, as hyperscalers building out cloud and AI inference capacity drove 39% data center revenue growth in Q2 2026 to $263M [1]. Asset lifecycle management also benefits from accelerating hardware refresh cycles driven by AI infrastructure buildout. The only exposure is in digital information management, where AI tools could automate document classification workflows IRM currently provides. Analysts view IRM as an AI infrastructure play, not an AI disruption target. AI Opportunity (0/1): The InSight platform uses AI for information lifecycle management and won the 2025 Tech Top 50 AI Implementation award, but no specific AI-attributable revenue figures or percentages have been disclosed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Iron Mountain Q2 2026 Earnings Release — Revenue $2.0B (+18.5% YoY), Adj. EBITDA $727M (+15.7%), AFFO $1.44/share (+17%), FY2026 Guidance Raised to $7.94B-$8.01B, Data Center Revenue $263M (+39%), July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Yahoo Finance, GuruFocus — IRM Key Statistics: Forward P/E 45.50x, PEG 4.24, Profit Margin ~2%, Dividend Yield 2.71%,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MarketBeat and StockTitan — IRM Insider Trading Activity: 33 Sells vs 1 Buy, CEO Meaney Sold 38,474 Shares, 2025-2026</w:t>
      </w:r>
    </w:p>
    <w:p>
      <w:pPr>
        <w:spacing w:before="20" w:after="20"/>
        <w:ind w:left="170"/>
      </w:pPr>
      <w:r>
        <w:rPr>
          <w:rFonts w:ascii="Calibri" w:hAnsi="Calibri"/>
          <w:b/>
          <w:color w:val="4A6B25"/>
          <w:sz w:val="15"/>
        </w:rPr>
        <w:t xml:space="preserve">4. </w:t>
      </w:r>
      <w:r>
        <w:rPr>
          <w:rFonts w:ascii="Calibri" w:hAnsi="Calibri"/>
          <w:b w:val="0"/>
          <w:color w:val="3A4A28"/>
          <w:sz w:val="17"/>
        </w:rPr>
        <w:t>Iron Mountain Leadership, AI Strategy, and Culture — ironmountain.com, Worth.com, Glassdoor, Comparably, 2025-2026</w:t>
      </w:r>
    </w:p>
    <w:p>
      <w:pPr>
        <w:spacing w:before="20" w:after="20"/>
        <w:ind w:left="170"/>
      </w:pPr>
      <w:r>
        <w:rPr>
          <w:rFonts w:ascii="Calibri" w:hAnsi="Calibri"/>
          <w:b/>
          <w:color w:val="4A6B25"/>
          <w:sz w:val="15"/>
        </w:rPr>
        <w:t xml:space="preserve">5. </w:t>
      </w:r>
      <w:r>
        <w:rPr>
          <w:rFonts w:ascii="Calibri" w:hAnsi="Calibri"/>
          <w:b w:val="0"/>
          <w:color w:val="3A4A28"/>
          <w:sz w:val="17"/>
        </w:rPr>
        <w:t>Iron Mountain Sustainability and ESG — FTSE4Good Index, HRC Corporate Equality Index, RE100, SBTi-Approved Targets, MSCI AA Rating,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