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IRWD</w:t>
      </w:r>
      <w:r>
        <w:rPr>
          <w:rFonts w:ascii="Calibri" w:hAnsi="Calibri"/>
          <w:b/>
          <w:color w:val="1A2010"/>
          <w:sz w:val="40"/>
        </w:rPr>
        <w:t xml:space="preserve">  Ironwood Pharmaceuticals, Inc.</w:t>
      </w:r>
    </w:p>
    <w:p>
      <w:pPr>
        <w:spacing w:after="120"/>
      </w:pPr>
      <w:r>
        <w:rPr>
          <w:rFonts w:ascii="Calibri" w:hAnsi="Calibri"/>
          <w:b/>
          <w:color w:val="6E8450"/>
          <w:sz w:val="18"/>
        </w:rPr>
        <w:t>GROWTH SLEEVE · 2026-10-19 · Inspire: 48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Drug Manufacturers - Specialty &amp; Generic · NASDAQ · United States</w:t>
      </w:r>
    </w:p>
    <w:p>
      <w:pPr>
        <w:spacing w:after="80"/>
      </w:pPr>
      <w:r>
        <w:rPr>
          <w:rFonts w:ascii="Calibri" w:hAnsi="Calibri"/>
          <w:b w:val="0"/>
          <w:color w:val="3A4A28"/>
          <w:sz w:val="20"/>
        </w:rPr>
        <w:t>Ironwood Pharmaceuticals is a biotechnology company focused on gastrointestinal and rare disease therapies. Its lead product, LINZESS/CONSTELLA (linaclotide), treats irritable bowel syndrome with constipation and chronic idiopathic constipation. After regaining full U.S. commercial rights to LINZESS in 2023, Ironwood now recognizes full product revenue rather than a royalty, driving LINZESS U.S. net sales of $282.3M in Q2 2026 (+14% YoY) and year-to-date net sales of $555M (+44% YoY) [1]. The company raised full-year 2026 guidance to $1.15-$1.20B in LINZESS sales and $460-$485M in total revenue. On October 16, 2026, the board appointed Chief Commercial Officer Tammi Gaskins as CEO effective January 2027, succeeding 17-year CEO Tom McCourt who remains on the board [3].</w:t>
      </w:r>
    </w:p>
    <w:p>
      <w:r>
        <w:rPr>
          <w:rFonts w:ascii="Calibri" w:hAnsi="Calibri"/>
          <w:b/>
          <w:color w:val="6E8450"/>
          <w:sz w:val="18"/>
        </w:rPr>
        <w:t>100 Employees · https://ironwoodpharma.com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Ironwood's 2023 reacquisition of full U.S. commercial rights to LINZESS from AbbVie fundamentally transformed the P&amp;L from a royalty-recipient model to full product-revenue recognition, driving LINZESS U.S. net sales growth of 97% YoY in Q1 2026 and 44% YTD through Q2 — a significant, real business-model shift, though narrower than a full company reinvention [1]. AI Deployment (0/2): No evidence of AI-powered products or quantified AI-driven cost savings was identified. Market Share (1/2): LINZESS/CONSTELLA remains a leading branded therapy in the IBS-C/CIC category, but no specific market-share percentage or ranking data was confirmed in research. Pipeline (1/2): Apraglutide is in an actively recruiting Phase 3 confirmatory trial (STARS-2) for short bowel syndrome, and IW-3300 is in development for interstitial cystitis/endometriosis-related pain — named, staged pipeline assets, but without firm launch dates or quantified revenue visibility [1]. R&amp;D Intensity (0/1): No R&amp;D-spend-as-percent-of-revenue data relative to peers was found in current research.</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Ironwood positions itself as "Leaders in GI Health Innovation" with stated values of innovation, excellence, humanity, and fun — a clear description of what the company does for a defined patient population, but not a deeply distinctive or transformative purpose statement [2]. Community Impact (0/2): No specific charitable programs, foundation activity, or community investment data was identified. Employee Retention (0/2): No tenure or turnover data was found; the company is very small (100 full-time employees) and has seen recent interim leadership churn (interim CFO and interim Head of Investor Relations appointed in May 2026), which is not evidence of retention strength. Insider Buying (0/2): No evidence of net insider buying was identified in current research.</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the three metrics available from yfinance for this growth stock; D/E, ROE, 5-year revenue CAGR, and Forward PEG all returned null and were excluded from both the weighted sum and its denominator per methodology, since Ironwood's book value is negative — a legacy of years of losses prior to the 2023 LINZESS rights reacquisition — making equity-based ratios non-meaningful [4]. On the three available metrics, Forward P/E of 2.33x (even cheaper than prior screen at 3.28x), profit margin of 33.36%, and revenue growth YoY of 32.6% all clear their targets comfortably, producing a maximum mechanical score. This should be read alongside the negative book equity (~$597M total debt vs. -$217M equity), which is a genuine balance-sheet risk not captured by the available-metrics-only calculation. Liquidity clears the floor at roughly $7.0M in daily dollar volume (1.99M shares x $3.50).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Ironwood's genuine service orientation toward underserved GI and rare-disease patients is real, and CEO Tom McCourt's 17-year tenure with a planned succession to internal CCO Tammi Gaskins signals organizational stability, but the company shows limited evidence of infinite-game thinking under Sinek's lens. The 2023 LINZESS rights reacquisition was a financially opportunistic deal rather than an idealistic strategic bet, and 2026 interim executive appointments (CFO, Head of Investor Relations) alongside the CEO transition leave the leadership bench thin at just 100 employees.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Ironwood's purpose of serving patients with GI and rare diseases connects to genuine unmet need, but the company's public messaging reads as standard biotech marketing rather than a resilient, decades-tested cause, and recent executive turnover raises questions about strategic continuity [2].</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Tom McCourt's 17-year tenure provided exceptional leadership continuity, and the planned October 2026 CEO transition to Chief Commercial Officer Tammi Gaskins — an internal promotion with McCourt staying on the board — signals organizational stability and succession planning [3]. However, multiple interim executive appointments in 2026 (CFO, Head of IR) and only 100 full-time employees leave limited organizational depth.</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competitive framing language — collaborative or otherwise — was identified in current research on Ironwood's public communications.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Reacquiring full U.S. commercial rights to LINZESS from AbbVie in 2023 fundamentally changed Ironwood's business model from royalty-recipient to full commercial operator, a meaningful but single, deal-driven pivot rather than a broader pattern of reinvention [1].</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leadership sacrificing near-term results for long-term capability was identified; the LINZESS rights transaction was a value-accretive commercial deal rather than a costly principled stand, and full-year guidance was maintained rather than raised on courage-driven investment.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Ironwood at $3.50 with a $578M market cap has transformed its earnings profile through the 2023 reacquisition of full U.S. LINZESS commercial rights: Q2 2026 LINZESS U.S. net sales hit $282.3M (+14% YoY) and year-to-date sales reached $555M (+44% YoY), prompting management to raise full-year 2026 guidance to $1.15-$1.20B in LINZESS sales and $460-$485M total revenue [1]. At a Forward P/E of just 2.33x with a 33.36% profit margin, the stock appears deeply undervalued relative to its earnings power, and the planned CEO succession from 17-year veteran Tom McCourt to CCO Tammi Gaskins signals continuity rather than disruption [3][4]. The apraglutide pipeline (Phase 3 STARS-2 confirmatory trial for short bowel syndrome) offers a call option on a second growth driver beyond the core LINZESS franchise.</w:t>
      </w:r>
    </w:p>
    <w:p>
      <w:pPr>
        <w:spacing w:after="120"/>
      </w:pPr>
      <w:r>
        <w:rPr>
          <w:rFonts w:ascii="Calibri" w:hAnsi="Calibri"/>
          <w:b w:val="0"/>
          <w:color w:val="3A4A28"/>
          <w:sz w:val="20"/>
        </w:rPr>
        <w:t>The bear case centers on concentration risk and balance-sheet fragility. Ironwood is effectively a single-product story — LINZESS drives the overwhelming majority of revenue — leaving the company exposed to any pricing, reimbursement, or generic-entry pressure on that one asset. Total debt of ~$597M against negative equity of -$217M means the balance sheet carries no equity cushion despite recently improved profitability [4]. The mechanically calculated Infrastructure score of 10 reflects only the three metrics yfinance could compute (Forward P/E, margin, revenue growth) — D/E, ROE, and 5-year revenue CAGR are all unavailable given the negative equity base, so the headline score should be read with that caveat rather than as an unqualified balance-sheet endorsement. The CEO transition (McCourt to Gaskins effective January 2027) combined with interim CFO and interim Head of IR appointments creates concentrated leadership-change risk at a company with only 100 full-time employees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LINZESS U.S. net sales growth toward the raised $1.15-$1.20B FY2026 guidance, driven by improved net pricing and steady EUTRx demand growth, converting directly to the bottom line now that Ironwood recognizes full product revenue rather than a royalty [1]</w:t>
      </w:r>
    </w:p>
    <w:p>
      <w:pPr>
        <w:spacing w:before="40" w:after="40"/>
        <w:ind w:left="283"/>
      </w:pPr>
      <w:r>
        <w:rPr>
          <w:rFonts w:ascii="Calibri" w:hAnsi="Calibri"/>
          <w:b/>
          <w:color w:val="4A6B25"/>
          <w:sz w:val="20"/>
        </w:rPr>
        <w:t xml:space="preserve">2. </w:t>
      </w:r>
      <w:r>
        <w:rPr>
          <w:rFonts w:ascii="Calibri" w:hAnsi="Calibri"/>
          <w:b w:val="0"/>
          <w:color w:val="3A4A28"/>
          <w:sz w:val="20"/>
        </w:rPr>
        <w:t>STARS-2 Phase 3 confirmatory trial results for apraglutide in short bowel syndrome with intestinal failure, which could open a meaningful second revenue stream beyond the LINZESS franchise if positive [1]</w:t>
      </w:r>
    </w:p>
    <w:p>
      <w:pPr>
        <w:spacing w:before="40" w:after="40"/>
        <w:ind w:left="283"/>
      </w:pPr>
      <w:r>
        <w:rPr>
          <w:rFonts w:ascii="Calibri" w:hAnsi="Calibri"/>
          <w:b/>
          <w:color w:val="4A6B25"/>
          <w:sz w:val="20"/>
        </w:rPr>
        <w:t xml:space="preserve">3. </w:t>
      </w:r>
      <w:r>
        <w:rPr>
          <w:rFonts w:ascii="Calibri" w:hAnsi="Calibri"/>
          <w:b w:val="0"/>
          <w:color w:val="3A4A28"/>
          <w:sz w:val="20"/>
        </w:rPr>
        <w:t>Permanent CFO and Head of Investor Relations appointments following the May 2026 interim leadership moves, which would reduce governance-continuity uncertainty heading into 2027 guidance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Heavy single-product concentration in LINZESS leaves Ironwood exposed to any adverse pricing, payer, or generic-competition development in the IBS-C/CIC category, with no comparable near-term revenue diversification [1]</w:t>
      </w:r>
    </w:p>
    <w:p>
      <w:pPr>
        <w:spacing w:before="40" w:after="40"/>
        <w:ind w:left="283"/>
      </w:pPr>
      <w:r>
        <w:rPr>
          <w:rFonts w:ascii="Calibri" w:hAnsi="Calibri"/>
          <w:b/>
          <w:color w:val="4A6B25"/>
          <w:sz w:val="20"/>
        </w:rPr>
        <w:t xml:space="preserve">2. </w:t>
      </w:r>
      <w:r>
        <w:rPr>
          <w:rFonts w:ascii="Calibri" w:hAnsi="Calibri"/>
          <w:b w:val="0"/>
          <w:color w:val="3A4A28"/>
          <w:sz w:val="20"/>
        </w:rPr>
        <w:t>Negative book equity (-$0.98/share) leaves no balance-sheet cushion, and the Infrastructure score of 10 is based on only 3 of 7 possible core metrics due to data unavailability tied to that negative equity base [4]</w:t>
      </w:r>
    </w:p>
    <w:p>
      <w:pPr>
        <w:spacing w:before="40" w:after="40"/>
        <w:ind w:left="283"/>
      </w:pPr>
      <w:r>
        <w:rPr>
          <w:rFonts w:ascii="Calibri" w:hAnsi="Calibri"/>
          <w:b/>
          <w:color w:val="4A6B25"/>
          <w:sz w:val="20"/>
        </w:rPr>
        <w:t xml:space="preserve">3. </w:t>
      </w:r>
      <w:r>
        <w:rPr>
          <w:rFonts w:ascii="Calibri" w:hAnsi="Calibri"/>
          <w:b w:val="0"/>
          <w:color w:val="3A4A28"/>
          <w:sz w:val="20"/>
        </w:rPr>
        <w:t>2026 interim CFO and interim Head of Investor Relations appointments at a 100-employee company introduce governance and continuity risk at a critical point in the apraglutide pipeline's clinical progression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Ironwood's core business — developing, manufacturing, and commercializing FDA-approved prescription pharmaceuticals for GI and rare disease conditions — sits in a physical-world, deeply regulated category that AI cannot structurally displace; patients require a diagnosed prescription and a manufactured drug product, not a software substitute [1]. AI may modestly assist drug discovery and clinical trial operations for the apraglutide/IW-3300 pipeline, but the core LINZESS revenue base faces no meaningful AI substitution risk. AI Opportunity (0/1): No evidence of quantified AI-related revenue or AI-driven internal savings was identified in current research.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Ironwood Pharmaceuticals Q1/Q2 FY2026 earnings releases and 8-K filings — LINZESS U.S. net sales $273M Q1, $282.3M Q2 (+14% YoY), YTD $555M (+44%), total revenue $107M (Q1)/$113M (Q2), raised FY2026 guidance (LINZESS $1.15-1.20B, total revenue $460-485M), STARS-2 Phase 3 apraglutide trial, BioSpace/SEC, May-August 2026</w:t>
      </w:r>
    </w:p>
    <w:p>
      <w:pPr>
        <w:spacing w:before="20" w:after="20"/>
        <w:ind w:left="170"/>
      </w:pPr>
      <w:r>
        <w:rPr>
          <w:rFonts w:ascii="Calibri" w:hAnsi="Calibri"/>
          <w:b/>
          <w:color w:val="4A6B25"/>
          <w:sz w:val="15"/>
        </w:rPr>
        <w:t xml:space="preserve">2. </w:t>
      </w:r>
      <w:r>
        <w:rPr>
          <w:rFonts w:ascii="Calibri" w:hAnsi="Calibri"/>
          <w:b w:val="0"/>
          <w:color w:val="3A4A28"/>
          <w:sz w:val="17"/>
        </w:rPr>
        <w:t>Ironwood leadership and culture — Interim CFO Ron Silver (May 2026), interim Head of IR Jeff Ruberti, stated corporate values (innovation, excellence, humanity, fun), about 50% women employees, Comparably/company sources, 2026</w:t>
      </w:r>
    </w:p>
    <w:p>
      <w:pPr>
        <w:spacing w:before="20" w:after="20"/>
        <w:ind w:left="170"/>
      </w:pPr>
      <w:r>
        <w:rPr>
          <w:rFonts w:ascii="Calibri" w:hAnsi="Calibri"/>
          <w:b/>
          <w:color w:val="4A6B25"/>
          <w:sz w:val="15"/>
        </w:rPr>
        <w:t xml:space="preserve">3. </w:t>
      </w:r>
      <w:r>
        <w:rPr>
          <w:rFonts w:ascii="Calibri" w:hAnsi="Calibri"/>
          <w:b w:val="0"/>
          <w:color w:val="3A4A28"/>
          <w:sz w:val="17"/>
        </w:rPr>
        <w:t>Ironwood CEO Transition — Board appointed CCO Tammi Gaskins as CEO effective January 1, 2027; 17-year CEO Tom McCourt stepping down but remaining on board; analysts characterize change as continuity-focused, Goldesel/BusinessWire, October 16,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StockAnalysis — IRWD key statistics: stock price $3.50, forward P/E 2.33x, profit margin 33.36%, negative book equity (~$597M debt vs. -$217M equity), avg daily volume 1.99M shares,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