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IVZ</w:t>
      </w:r>
      <w:r>
        <w:rPr>
          <w:rFonts w:ascii="Calibri" w:hAnsi="Calibri"/>
          <w:b/>
          <w:color w:val="1A2010"/>
          <w:sz w:val="40"/>
        </w:rPr>
        <w:t xml:space="preserve">  Invesco Ltd</w:t>
      </w:r>
    </w:p>
    <w:p>
      <w:pPr>
        <w:spacing w:after="120"/>
      </w:pPr>
      <w:r>
        <w:rPr>
          <w:rFonts w:ascii="Calibri" w:hAnsi="Calibri"/>
          <w:b/>
          <w:color w:val="6E8450"/>
          <w:sz w:val="18"/>
        </w:rPr>
        <w:t>DIVIDEND SLEEVE · 2026-10-19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Invesco Ltd. is a global independent investment manager offering equity, fixed income, multi-asset, and alternative strategies through mutual funds, ETFs (including the flagship QQQ Trust), and private funds to retail, institutional, and high-net-worth clients worldwide. Under CEO Andrew Schlossberg (since 2023), Invesco reported record Q2 2026 AUM of $2.5 trillion (+23.4% YoY) and record net long-term inflows of $45.1B — the 12th straight quarter of net inflows — with adjusted operating revenue up 20.5% to $1.83B and adjusted EPS of $0.71 [1]. The company continues to work through the aftermath of a November 2024 SEC enforcement action and $17.5M penalty for misleading ESG-integration disclosures.</w:t>
      </w:r>
    </w:p>
    <w:p>
      <w:r>
        <w:rPr>
          <w:rFonts w:ascii="Calibri" w:hAnsi="Calibri"/>
          <w:b/>
          <w:color w:val="6E8450"/>
          <w:sz w:val="18"/>
        </w:rPr>
        <w:t>7,405 Employees · https://www.invesco.com/corporate/en/home.html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Invesco's growth is driven primarily by market appreciation, record net long-term inflows ($45.1B in Q2 2026), and additional net revenues earned from the QQQ Trust structure, rather than a business-model transformation or major pivot [1]. AI Deployment (1/2): Invesco has a Global Head of AI, Emerging Technology and Innovation (David Dowsett, 9 years building internal AI capability), but CEO Schlossberg has publicly stated that "the last place where technology will get applied is in the investments area," with AI focused on distribution and operating efficiency rather than shipped, revenue-generating AI products [2]. Market Share (1/2): Invesco manages $2.47T in AUM and the QQQ Trust is one of the most successful ETFs globally, but Invesco remains outside the top tier of asset managers (BlackRock, Vanguard, State Street), a meaningful-but-not-dominant position. Pipeline (0/2): No next-generation product pipeline with named launches and timelines was identified. R&amp;D Intensity (0/1): No R&amp;D-spend data applicable to an asset manager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Invesco's stated purpose around delivering "an investment experience that helps people get more out of life" is generic, interchangeable language common across the asset management industry, without a distinctive differentiator [2]. Community Impact (0/2): No specific charitable programs or community investment data were identified in current research. Employee Retention (0/2): CEO Schlossberg describes a "collaborative culture," but no turnover or tenure data was found to substantiate retention strength. Insider Buying (0/2): No evidence of net insider buying was identified in current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5-year revenue CAGR was unavailable and excluded from the calculation. D/E of 12.06% and Forward P/E of 8.67x both clear their targets outright (capped at 1.0), reflecting a lightly-levered balance sheet and a valuation discounted further after a 14% price decline [4]. Trailing ROE of -0.57% and profit margin of -0.93% both score 0 — the negative GAAP figures reflect intangible-asset amortization from the 2019 OppenheimerFunds acquisition weighing on reported earnings even as adjusted (non-GAAP) EPS grew 97.2% YoY, a real disconnect between statutory and economic profitability [1][4]. Revenue growth YoY of 20.5% scores strongly (1.0). On dividend quality, the payout ratio of 56.46% is moderate (0.73), the roughly 20-year record of uninterrupted (though not always growing) dividend payments is capped at 1.0 (2x weight), consecutive years of actual dividend growth is limited to about 2 years following a multi-year flat period post-2020 cut (0.20), and the 5-year dividend growth CAGR of approximately 4.8% (from $0.17/quarter in 2021 to $0.215/quarter in 2026) scores 0.80 at 2x weight. Liquidity clears the floor comfortably at roughly $126M in daily dollar volume (4.46M shares x $28.20).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Invesco shows limited evidence of infinite-game thinking under Sinek's lens. The company's growth is driven by strong but largely market- and flow-dependent AUM momentum rather than a distinctive Just Cause, and the November 2024 SEC settlement over misleading ESG-integration claims — followed by Invesco halting firmwide ESG integration reporting since late 2022 — reflects a retreat from a stated commitment rather than courage to hold it. CEO Schlossberg's "slow-burning transformation" and collaborative-culture framing are positive but thin on hard evidence.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Invesco's stated purpose of helping clients "get more out of life" through investing is standard industry language, interchangeable with most asset management peers, without evidence it meaningfully shapes strategic decisions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Schlossberg's described "collaborative culture" and preference for gradual, deliberate transformation are modestly positive signals, but no turnover, tenure, or employee-sentiment data was found to substantiate exceptional organizational 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 collaborative or otherwise — toward rival asset managers was identified in current research; available CEO commentary focuses on internal capability rather than competitor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Invesco's growing reliance on the QQQ Trust and passive ETF platform alongside its traditional active-management business represents an incremental evolution of the business mix rather than a transformative reinvention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November 2024 SEC settlement for misleading ESG-integration claims, followed by Invesco's decision to stop publishing firmwide ESG integration levels since late 2022, reflects governance retreat rather than a costly principled stand; no evidence of leadership sacrificing near-term results for long-term capability was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Invesco at $28.20 with a $12.5B market cap reported genuinely strong Q2 2026 results — record AUM of $2.5T (+23.4% YoY), record net long-term inflows of $45.1B (12th consecutive quarter of net inflows), adjusted EPS of $0.71, and adjusted operating revenue up 20.5% to $1.83B — and the stock trades at a modest Forward P/E of 8.67x, even cheaper than prior quarter's 10.03x after a 14% price decline [1][4]. The QQQ Trust franchise continues to be a differentiated, durable flow generator that few competitors can replicate, and the balance sheet carries very light leverage (D/E of 12.06%).</w:t>
      </w:r>
    </w:p>
    <w:p>
      <w:pPr>
        <w:spacing w:after="120"/>
      </w:pPr>
      <w:r>
        <w:rPr>
          <w:rFonts w:ascii="Calibri" w:hAnsi="Calibri"/>
          <w:b w:val="0"/>
          <w:color w:val="3A4A28"/>
          <w:sz w:val="20"/>
        </w:rPr>
        <w:t>The bear case is substantial. Trailing GAAP EPS is negative (-$0.69) and both ROE (-0.57%) and profit margin (-0.93%) score at the floor, reflecting a persistent gap between adjusted and GAAP profitability tied to intangible amortization from the 2019 OppenheimerFunds deal — a structural drag, not a one-quarter anomaly [4]. Active asset management faces genuine secular AI disruption risk: fee compression has run for 15 consecutive years and agentic AI is beginning to compress the research and analysis workflows that justify active management fees, while Invesco's own CEO has downplayed near-term AI application to the investment process itself [2][3]. The November 2024 SEC settlement ($17.5M penalty) for misleading ESG-integration claims — and the subsequent decision to stop publishing firmwide ESG integration data since late 2022 — is a governance red flag that predates but continues to shadow the current story. Dividend growth has been inconsistent, with the payout flat for several years after a 50% cut in 2020 before a modest recent increase, undermining the income-durability case despite the current 2.89% yield.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record net long-term inflows (Q2 2026: $45.1B) sustaining the AUM growth trajectory toward $2.47T and beyond, driven disproportionately by QQQ Trust-related flows [1]</w:t>
      </w:r>
    </w:p>
    <w:p>
      <w:pPr>
        <w:spacing w:before="40" w:after="40"/>
        <w:ind w:left="283"/>
      </w:pPr>
      <w:r>
        <w:rPr>
          <w:rFonts w:ascii="Calibri" w:hAnsi="Calibri"/>
          <w:b/>
          <w:color w:val="4A6B25"/>
          <w:sz w:val="20"/>
        </w:rPr>
        <w:t xml:space="preserve">2. </w:t>
      </w:r>
      <w:r>
        <w:rPr>
          <w:rFonts w:ascii="Calibri" w:hAnsi="Calibri"/>
          <w:b w:val="0"/>
          <w:color w:val="3A4A28"/>
          <w:sz w:val="20"/>
        </w:rPr>
        <w:t>A sustained recovery in GAAP profitability as intangible amortization from the 2019 OppenheimerFunds acquisition rolls off, closing the gap between adjusted EPS growth (+97.2% YoY) and the currently negative trailing GAAP EPS [1][4]</w:t>
      </w:r>
    </w:p>
    <w:p>
      <w:pPr>
        <w:spacing w:before="40" w:after="40"/>
        <w:ind w:left="283"/>
      </w:pPr>
      <w:r>
        <w:rPr>
          <w:rFonts w:ascii="Calibri" w:hAnsi="Calibri"/>
          <w:b/>
          <w:color w:val="4A6B25"/>
          <w:sz w:val="20"/>
        </w:rPr>
        <w:t xml:space="preserve">3. </w:t>
      </w:r>
      <w:r>
        <w:rPr>
          <w:rFonts w:ascii="Calibri" w:hAnsi="Calibri"/>
          <w:b w:val="0"/>
          <w:color w:val="3A4A28"/>
          <w:sz w:val="20"/>
        </w:rPr>
        <w:t>Resumption of consistent annual dividend increases (two consecutive small raises in 2025-2026 after years flat) that would begin to rebuild the income-durability case for the stock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fee compression accelerated by AI-enabled passive and algorithmic strategies, which industry commentary flags as compressing active-management economics that still anchor a meaningful share of Invesco's revenue base [3]</w:t>
      </w:r>
    </w:p>
    <w:p>
      <w:pPr>
        <w:spacing w:before="40" w:after="40"/>
        <w:ind w:left="283"/>
      </w:pPr>
      <w:r>
        <w:rPr>
          <w:rFonts w:ascii="Calibri" w:hAnsi="Calibri"/>
          <w:b/>
          <w:color w:val="4A6B25"/>
          <w:sz w:val="20"/>
        </w:rPr>
        <w:t xml:space="preserve">2. </w:t>
      </w:r>
      <w:r>
        <w:rPr>
          <w:rFonts w:ascii="Calibri" w:hAnsi="Calibri"/>
          <w:b w:val="0"/>
          <w:color w:val="3A4A28"/>
          <w:sz w:val="20"/>
        </w:rPr>
        <w:t>Negative trailing GAAP ROE and profit margin reflect a persistent adjusted-vs-GAAP earnings gap tied to acquisition-related intangible amortization, a structural rather than transitory drag on reported profitability [4]</w:t>
      </w:r>
    </w:p>
    <w:p>
      <w:pPr>
        <w:spacing w:before="40" w:after="40"/>
        <w:ind w:left="283"/>
      </w:pPr>
      <w:r>
        <w:rPr>
          <w:rFonts w:ascii="Calibri" w:hAnsi="Calibri"/>
          <w:b/>
          <w:color w:val="4A6B25"/>
          <w:sz w:val="20"/>
        </w:rPr>
        <w:t xml:space="preserve">3. </w:t>
      </w:r>
      <w:r>
        <w:rPr>
          <w:rFonts w:ascii="Calibri" w:hAnsi="Calibri"/>
          <w:b w:val="0"/>
          <w:color w:val="3A4A28"/>
          <w:sz w:val="20"/>
        </w:rPr>
        <w:t>The November 2024 SEC settlement over misleading ESG-integration disclosures, and the halt in firmwide ESG integration reporting since late 2022, represent an unresolved governance overhang for a company marketed partly on ESG capability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Active asset management faces genuine AI substitution risk — agentic AI is described in industry commentary as compressing the research-analyst alpha-decay cycle "from months to hours" by scanning thousands of names continuously versus a human analyst's 20-40, and fee compression has run 1-3% annually for 15 consecutive years, a trend AI-enabled passive and algorithmic strategies are likely to accelerate [3]. Invesco's growing reliance on QQQ and passive ETF flows for its strongest growth (record $45.1B in Q2 inflows) provides some structural buffer since passive index products do not depend on the analyst judgment AI most directly threatens, but the broader active-management economics that still anchor much of the fee base remain exposed. AI Opportunity (0/1): No quantified AI-related revenue contribution was identified; CEO Schlossberg has explicitly characterized AI as applied to distribution and operating efficiency rather than a monetized product 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Invesco Q2 FY2026 earnings release and call transcript — adjusted EPS $0.71 (+97.2% YoY), adjusted net revenues $1.33B (+20.3%), AUM $2.47T (+23.4% YoY), record net long-term inflows $45.1B, The Globe and Mail/Investing.com,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Invesco leadership and AI strategy — CEO Andrew Schlossberg (since 2023), "collaborative culture" and gradual transformation approach, AI applied to distribution/operating efficiency not investment process, David Dowsett Global Head of AI, Pensions &amp; Investments/MenaMoney, 2025-2026</w:t>
      </w:r>
    </w:p>
    <w:p>
      <w:pPr>
        <w:spacing w:before="20" w:after="20"/>
        <w:ind w:left="170"/>
      </w:pPr>
      <w:r>
        <w:rPr>
          <w:rFonts w:ascii="Calibri" w:hAnsi="Calibri"/>
          <w:b/>
          <w:color w:val="4A6B25"/>
          <w:sz w:val="15"/>
        </w:rPr>
        <w:t xml:space="preserve">3. </w:t>
      </w:r>
      <w:r>
        <w:rPr>
          <w:rFonts w:ascii="Calibri" w:hAnsi="Calibri"/>
          <w:b w:val="0"/>
          <w:color w:val="3A4A28"/>
          <w:sz w:val="17"/>
        </w:rPr>
        <w:t>Invesco SEC ESG enforcement — $17.5M penalty (November 2024) for misleading ESG-integration AUM disclosures, no firmwide ESG integration reporting since late 2022; industry AI/agentic-AI disruption commentary on asset management fee compression, ESGtoday/ESGdive/AdvisorAnalyst,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SEC 10-K and 10-Q filings — IVZ key statistics and dividend history: stock price $28.20, forward P/E 8.67x, D/E 12.06%, dividend yield 2.89%, quarterly dividend $0.155 (2020) to $0.17 (2021) to $0.215 (2026),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