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JBI</w:t>
      </w:r>
      <w:r>
        <w:rPr>
          <w:rFonts w:ascii="Calibri" w:hAnsi="Calibri"/>
          <w:b/>
          <w:color w:val="1A2010"/>
          <w:sz w:val="40"/>
        </w:rPr>
        <w:t xml:space="preserve">  Janus International Group, Inc.</w:t>
      </w:r>
    </w:p>
    <w:p>
      <w:pPr>
        <w:spacing w:after="120"/>
      </w:pPr>
      <w:r>
        <w:rPr>
          <w:rFonts w:ascii="Calibri" w:hAnsi="Calibri"/>
          <w:b/>
          <w:color w:val="6E8450"/>
          <w:sz w:val="18"/>
        </w:rPr>
        <w:t>GROWTH SLEEVE · 2026-09-19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United States</w:t>
      </w:r>
    </w:p>
    <w:p>
      <w:pPr>
        <w:spacing w:after="80"/>
      </w:pPr>
      <w:r>
        <w:rPr>
          <w:rFonts w:ascii="Calibri" w:hAnsi="Calibri"/>
          <w:b w:val="0"/>
          <w:color w:val="3A4A28"/>
          <w:sz w:val="20"/>
        </w:rPr>
        <w:t>Janus International Group is the leading global manufacturer and supplier of turn-key self-storage building solutions, commercial and industrial doors, hallway systems, relocatable storage units, and facility automation technologies including the Noka Smart Entry access control platform. Products serve the self-storage industry across North America and internationally through new construction, R3 (retrofit/replace/repair), and commercial segments. The January 2026 Kiwi II Construction acquisition adds general commercial construction capabilities. Q2 2026 revenue was $233.5M (+2.4% YoY) with net income of $10.7M (down 48.3%). Full-year 2026 guidance: $925-945M revenue, $150-170M adjusted EBITDA. Founded in 2002, headquartered in Temple, Georgia.</w:t>
      </w:r>
    </w:p>
    <w:p>
      <w:r>
        <w:rPr>
          <w:rFonts w:ascii="Calibri" w:hAnsi="Calibri"/>
          <w:b/>
          <w:color w:val="6E8450"/>
          <w:sz w:val="18"/>
        </w:rPr>
        <w:t>1,583 Employees · https://www.janusintl.com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Janus reported Q2 2026 revenue of $233.5M (+2.4% YoY) with international revenue growing 9.5%, driven partly by the January 2026 Kiwi II Construction acquisition contributing $19.2M [1]. However, the core self-storage business has contracted from $1.07B peak (2023) to FY2025 run rate of ~$884M, and the growth rebound remains primarily acquisition-driven. Commercial and other revenue declined 21.2% in Q2 [1]. AI Deployment (0/2): CEO Jackson has described AI and omnichannel systems as 'the next wave' of innovation in self-storage, but no AI products have shipped and no quantified AI-driven efficiency gains exist [2]. Market Share (2/2): Janus is the dominant global provider of self-storage building solutions, holding leading market share in roll-up doors, hallway systems, and self-storage facility construction — a category-defining position validated by specification into architectural plans across North America [1]. Product Pipeline (1/2): Noka Smart Entry platform continues unit growth, and the Kiwi II acquisition adds commercial construction capabilities. R3 segment provides recurring revenue visibility. However, no specific next-gen product launches with defined timelines beyond organic growth were identified. R&amp;D Intensity (0/1): Standard industrial manufacturer R&amp;D investment; no evidence of above-average R&amp;D spend relative to building products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Janus positions itself as providing building solutions that 'protect and secure people's property and businesses' — a clear purpose connected to tangible customer value, with the ESG policy addressing supply chain management and social capital [3]. The mission identifies what the company does and for whom but doesn't articulate a deeper transformative vision beyond functional utility. Community Impact (1/2): Janus employs 1,583 people across manufacturing facilities in the southeastern U.S. and internationally, providing stable industrial employment in communities where manufacturing jobs are economically significant [3]. No distinctive charitable foundation or community investment programs were identified. Employee Retention (0/2): Glassdoor rating of 2.7/5.0 with culture and values rated 2.6/5.0 indicates below-average employee engagement [2]. Reviews cite poor executive communication, unstructured operations, and workload imbalances, with the company placing 15% below typical manufacturing companies of similar size. Insider Buying (0/2): No evidence of meaningful voluntary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Janus navigates a cyclical trough with deteriorating profitability but attractive forward valuation. Forward P/E of 6.56x is deeply discounted, scoring a perfect 1.0 against the 20x target — reflecting extreme market pessimism about margin recovery [4]. D/E of 108.8% is moderate for an industrial acquirer with $622M debt against $127M cash [4]. Revenue growth YoY of 2.4% is modest but positive, marking stabilization from the prior year's contraction [1]. ROE of 5.95% is well below the 15% target, reflecting margin compression as Q2 net income fell 48.3% to $10.7M [1][4]. Profit margin of 3.68% is thin — adjusted EBITDA margin of 17.2% in Q2 was down 18% YoY, with pricing pressures, negative mix, and acquisition integration costs squeezing profitability [1]. Free cash flow of ~$41M TTM demonstrates continued cash generation despite margin pressure. Liquidity floor cleared: 1.71M avg volume × $4.30 = $7.3M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Janus International under founder-era CEO Ramey Jackson (with the company since 2002) benefits from 24 years of strategic continuity and deep industry knowledge, but the company operates with a primarily finite mindset. The acquisition-driven growth strategy (Kiwi II), market share language, and Glassdoor-documented cultural challenges (2.7/5) all point to a company focused on winning the quarter rather than building to endure. Revenue guidance was lowered from $940-980M to $925-945M, and EBITDA guidance from $165-185M to $150-170M, reflecting pragmatic adjustment but not transformative long-term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Janus's purpose of providing building solutions to protect property is functional and clear but lacks an aspirational dimension [3]. The company defines itself by what it makes — doors, hallway systems, buildings — rather than a vision of a better future state. CEO Jackson's 24-year tenure since founding suggests genuine commitment to the business, but the strategic narrative centers on market share, acquisitions, and financial performance rather than advancing a cause that transcends profit.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2.7/5.0 with culture and values at 2.6/5.0 indicates a below-average trust environment, placing the company 15% below typical manufacturing peers [2]. Employee reviews describe poor executive communication, unstructured growth, workload imbalances, and a pattern of overloading productive employees rather than scaling teams. For a manufacturer with 1,583 employees, these signals suggest systemic organizational challenges that hinder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Janus's competitive language frames the self-storage construction downturn as an opportunity to diversify and strengthen the platform rather than a battle to defeat specific competitors [1]. The Kiwi II acquisition and international expansion represent improvement-oriented responses to competitive pressure, suggesting a willingness to evolve rather than merely defend market position. Management commentary acknowledges industry headwinds without antagonistic competitor framing.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Kiwi II Construction acquisition in January 2026, contributing $19.2M in Q2 revenue, represents meaningful strategic evolution from pure self-storage dependence to broader building solutions [1]. International revenue growth of 9.5% and the Noka Smart Entry platform show willingness to evolve the product portfolio. However, these are adjacent market extensions rather than transformative business model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Janus acquired Kiwi II Construction during a period of declining core self-storage revenue, investing in diversification when the base business was contracting [1]. Management reaffirmed and then modestly lowered 2026 guidance rather than inflating expectations — a transparent and conservative posture. However, the guidance reduction from $940-980M to $925-945M revenue also suggests reactive management rather than proactive investment. No examples of sacrificing profitable but misaligned opportunities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Janus International offers a deep-value opportunity at 6.56x forward earnings with dominant market share in self-storage building solutions, trading at $4.30 — approximately 60% below its 52-week high [4]. Q2 2026 revenue of $233.5M (+2.4% YoY) demonstrates stabilization from the prior year's contraction, with international revenue growing 9.5% and the Kiwi II acquisition contributing $19.2M [1]. Full-year 2026 guidance of $925-945M revenue with $150-170M adjusted EBITDA, while lower than initial targets, implies approximately 5.7% growth at the midpoint. Free cash flow of ~$41M TTM demonstrates continued cash generation even at cyclical lows, and the self-storage construction cycle is historically mean-reverting — new supply has contracted significantly over two years, which should trigger eventual recovery. CEO Ramey Jackson's 24-year tenure since founding provides strategic continuity. The Inspire score of 61 (ALIGNED) is constructive for faith-based investors.</w:t>
      </w:r>
    </w:p>
    <w:p>
      <w:pPr>
        <w:spacing w:after="120"/>
      </w:pPr>
      <w:r>
        <w:rPr>
          <w:rFonts w:ascii="Calibri" w:hAnsi="Calibri"/>
          <w:b w:val="0"/>
          <w:color w:val="3A4A28"/>
          <w:sz w:val="20"/>
        </w:rPr>
        <w:t>The bear case centers on severe margin compression and the question of whether this is cyclical or structural. Q2 2026 net income collapsed 48.3% to $10.7M despite modest revenue growth, and adjusted EBITDA margin of 17.2% (down 18% YoY) reflects pricing pressures, negative mix, and acquisition integration costs that management has not yet demonstrated the ability to reverse [1]. Full-year guidance was lowered from the initial $940-980M revenue / $165-185M EBITDA to $925-945M / $150-170M, suggesting ongoing demand softness. D/E of 108.8% with $622M total debt against a $587M market cap means the company trades below its debt level — creating significant financial risk if margins deteriorate further [4]. ROE has compressed to 5.95% and profit margin to 3.68%, both well below targets for a healthy industrial. Glassdoor rating of 2.7/5 with culture at 2.6/5 suggests organizational challenges during a critical integration and recovery period [2]. Commercial and other revenue declined 21.2% in Q2, indicating the weakness is not confined to self-storage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Self-storage construction cycle recovery — new supply has contracted significantly over two years, historically triggering a rebound in facility construction and renovation spending that would directly benefit Janus's dominant market position [1]</w:t>
      </w:r>
    </w:p>
    <w:p>
      <w:pPr>
        <w:spacing w:before="40" w:after="40"/>
        <w:ind w:left="283"/>
      </w:pPr>
      <w:r>
        <w:rPr>
          <w:rFonts w:ascii="Calibri" w:hAnsi="Calibri"/>
          <w:b/>
          <w:color w:val="4A6B25"/>
          <w:sz w:val="20"/>
        </w:rPr>
        <w:t xml:space="preserve">2. </w:t>
      </w:r>
      <w:r>
        <w:rPr>
          <w:rFonts w:ascii="Calibri" w:hAnsi="Calibri"/>
          <w:b w:val="0"/>
          <w:color w:val="3A4A28"/>
          <w:sz w:val="20"/>
        </w:rPr>
        <w:t>Kiwi II Construction integration contributing $80-90M inorganic revenue in 2026 and diversifying the business beyond self-storage dependence into general commercial construction [1]</w:t>
      </w:r>
    </w:p>
    <w:p>
      <w:pPr>
        <w:spacing w:before="40" w:after="40"/>
        <w:ind w:left="283"/>
      </w:pPr>
      <w:r>
        <w:rPr>
          <w:rFonts w:ascii="Calibri" w:hAnsi="Calibri"/>
          <w:b/>
          <w:color w:val="4A6B25"/>
          <w:sz w:val="20"/>
        </w:rPr>
        <w:t xml:space="preserve">3. </w:t>
      </w:r>
      <w:r>
        <w:rPr>
          <w:rFonts w:ascii="Calibri" w:hAnsi="Calibri"/>
          <w:b w:val="0"/>
          <w:color w:val="3A4A28"/>
          <w:sz w:val="20"/>
        </w:rPr>
        <w:t>Forward P/E of 6.56x implies the market is pricing in permanent margin destruction — any stabilization or improvement in EBITDA margins from the current 17.2% could trigger a significant re-rating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compression accelerating — Q2 2026 adjusted EBITDA margin of 17.2% (down 18% YoY) and net income down 48.3% suggest pricing pressures and acquisition integration costs are eroding profitability faster than revenue growth can offset [1]</w:t>
      </w:r>
    </w:p>
    <w:p>
      <w:pPr>
        <w:spacing w:before="40" w:after="40"/>
        <w:ind w:left="283"/>
      </w:pPr>
      <w:r>
        <w:rPr>
          <w:rFonts w:ascii="Calibri" w:hAnsi="Calibri"/>
          <w:b/>
          <w:color w:val="4A6B25"/>
          <w:sz w:val="20"/>
        </w:rPr>
        <w:t xml:space="preserve">2. </w:t>
      </w:r>
      <w:r>
        <w:rPr>
          <w:rFonts w:ascii="Calibri" w:hAnsi="Calibri"/>
          <w:b w:val="0"/>
          <w:color w:val="3A4A28"/>
          <w:sz w:val="20"/>
        </w:rPr>
        <w:t>D/E of 108.8% with $622M total debt against a $587M market cap means the stock trades below its debt level — continued margin deterioration could create liquidity stress and impair the balance sheet [4]</w:t>
      </w:r>
    </w:p>
    <w:p>
      <w:pPr>
        <w:spacing w:before="40" w:after="40"/>
        <w:ind w:left="283"/>
      </w:pPr>
      <w:r>
        <w:rPr>
          <w:rFonts w:ascii="Calibri" w:hAnsi="Calibri"/>
          <w:b/>
          <w:color w:val="4A6B25"/>
          <w:sz w:val="20"/>
        </w:rPr>
        <w:t xml:space="preserve">3. </w:t>
      </w:r>
      <w:r>
        <w:rPr>
          <w:rFonts w:ascii="Calibri" w:hAnsi="Calibri"/>
          <w:b w:val="0"/>
          <w:color w:val="3A4A28"/>
          <w:sz w:val="20"/>
        </w:rPr>
        <w:t>Glassdoor rating of 2.7/5.0 with culture at 2.6/5.0 and reviews citing poor executive communication signal organizational challenges during critical Kiwi II integration and recovery period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Janus International manufactures physical building products — steel roll-up doors, hallway systems, modular storage structures, and relocatable units — that AI structurally cannot replace [1]. The self-storage construction and R3 (retrofit/replace/repair) segments require physical fabrication, installation, and on-site assembly that is entirely immune to AI substitution. Customer relationships involve specification into architectural plans, creating high switching costs. AI may increase demand for data centers and physical infrastructure adjacent to Janus's capabilities. The Noka Smart Entry access control platform is hardware-based IoT rather than software that AI could displace. AI Opportunity (0/1): No evidence of AI-generated revenue. CEO Jackson describes AI as a future opportunity in self-storage facility management rather than a current revenue contributor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Janus International Q2 2026 Earnings Release — $233.5M revenue (+2.4% YoY), $10.7M net income (down 48.3%), $40.2M adjusted EBITDA (17.2% margin), FY2026 guidance $925-945M revenue / $150-170M EBITDA, August 2026</w:t>
      </w:r>
    </w:p>
    <w:p>
      <w:pPr>
        <w:spacing w:before="20" w:after="20"/>
        <w:ind w:left="170"/>
      </w:pPr>
      <w:r>
        <w:rPr>
          <w:rFonts w:ascii="Calibri" w:hAnsi="Calibri"/>
          <w:b/>
          <w:color w:val="4A6B25"/>
          <w:sz w:val="15"/>
        </w:rPr>
        <w:t xml:space="preserve">2. </w:t>
      </w:r>
      <w:r>
        <w:rPr>
          <w:rFonts w:ascii="Calibri" w:hAnsi="Calibri"/>
          <w:b w:val="0"/>
          <w:color w:val="3A4A28"/>
          <w:sz w:val="17"/>
        </w:rPr>
        <w:t>Janus International CEO Ramey Jackson (since 2002), Glassdoor Reviews (2.7/5), AI innovation commentary,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Janus International ESG Policy and Corporate Website — mission, building solutions, governance framework,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JBI Key Statistics: Stock Price $4.30, Forward P/E 6.56, D/E 108.8%, ROE 5.95%, Profit Margin 3.68%, Avg Volume 1.71M,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