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JCI</w:t>
      </w:r>
      <w:r>
        <w:rPr>
          <w:rFonts w:ascii="Calibri" w:hAnsi="Calibri"/>
          <w:b/>
          <w:color w:val="1A2010"/>
          <w:sz w:val="40"/>
        </w:rPr>
        <w:t xml:space="preserve">  Johnson Controls International plc</w:t>
      </w:r>
    </w:p>
    <w:p>
      <w:pPr>
        <w:spacing w:after="120"/>
      </w:pPr>
      <w:r>
        <w:rPr>
          <w:rFonts w:ascii="Calibri" w:hAnsi="Calibri"/>
          <w:b/>
          <w:color w:val="6E8450"/>
          <w:sz w:val="18"/>
        </w:rPr>
        <w:t>GROWTH SLEEVE · 2026-10-19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Building Products &amp; Equipment · NYSE · Ireland</w:t>
      </w:r>
    </w:p>
    <w:p>
      <w:pPr>
        <w:spacing w:after="80"/>
      </w:pPr>
      <w:r>
        <w:rPr>
          <w:rFonts w:ascii="Calibri" w:hAnsi="Calibri"/>
          <w:b w:val="0"/>
          <w:color w:val="3A4A28"/>
          <w:sz w:val="20"/>
        </w:rPr>
        <w:t>Johnson Controls International designs, manufactures, installs, and services HVAC, fire detection and suppression, building management, and integrated security systems for commercial, institutional, industrial, and data center customers globally. The company generates TTM revenue of approximately $25.0B with a 14.3% profit margin and 36.7% gross margin. Founded in 1885 and headquartered in Cork, Ireland, JCI posted Q3 FY2026 revenue of $6.6B (up 9% YoY) with adjusted EPS of $1.42 (up 35% YoY) and a record backlog of $21B.</w:t>
      </w:r>
    </w:p>
    <w:p>
      <w:r>
        <w:rPr>
          <w:rFonts w:ascii="Calibri" w:hAnsi="Calibri"/>
          <w:b/>
          <w:color w:val="6E8450"/>
          <w:sz w:val="18"/>
        </w:rPr>
        <w:t>87,000 Employees · https://www.johnsoncontrols.com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JCI executed a transformative strategic pivot by divesting its $13B Power Solutions automotive battery business in 2019 to become a pure-play building technology company, and subsequently launched the OpenBlue digital platform connecting building systems into AI-optimized environments [1][2]. Data center solutions have grown from mid-single-digits to high-teens percentage of FY2026 sales, representing a meaningful new revenue stream. AI Deployment (1/2): OpenBlue integrates AI for predictive maintenance, energy optimization, and autonomous building management; JCI was named one of 10 U.S. companies leading the way with AI by the Business Roundtable, and Chief Digital Officer Vijay Sankaran and VP of AI Josh Lee were named to Constellation Research's 2025 AI 150 list [2]. Market Share (1/2): JCI is the global leader in building technology and fire/security systems, though specific market share data is not publicly reported; the company's $21B record backlog and 27% organic order growth in Q3 FY2026 signal strengthening competitive position [1]. Product Pipeline (1/2): Data center cooling and management solutions are scaling rapidly with high-teens percentage of revenue expected in FY2026, and OpenBlue continues expanding into new verticals, but specific next-generation product launch timelines are not disclosed. R&amp;D Intensity (0/1): JCI's R&amp;D spending is moderate for the building products sector, with the company relying more on acquisitions and integration than pure R&amp;D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JCI's purpose — to reimagine the performance of buildings to serve people, places, and the planet — is specific, thoughtful, and directly connected to the company's 140-year heritage in building technology [2]. The mission differentiates from peers by linking building performance to environmental sustainability and human wellbeing, and the strategic pivot away from automotive batteries to focus exclusively on smart buildings validates that this purpose shapes major capital allocation decisions. Community Impact (1/2): JCI operates a corporate foundation and community investment programs, and the company has received recognition for sustainability leadership including a top-6 ranking among 148 building products companies by Sustainalytics [3]. However, specific dollar amounts for charitable giving or distinctive community programs were not identified. Employee Retention (0/2): No specific voluntary turnover data, average tenure statistics, or mission-driven retention evidence was found for JCI's 87,000-person workforce. Insider Buying (0/2): Recent insider transactions show net selling — officers including Lei Zhang Schlitz ($12.5M sale in May 2026) and Todd Grabowski ($885K in sales) dominate the transaction record, with no meaningful net insider buying in the last 12 months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JCI's D/E of 70.1% sits essentially at the 70% target (score 1.0), and ROE of 14.3% narrowly misses the 15% target (score 0.95, 2x weight) [1]. Revenue growth of 9.3% YoY approaches the 10% target (score 0.98), driven by Q3 organic growth of 10% and 27% organic order growth. The 3-year revenue CAGR of approximately 4.6% reflects the company's transition period (score 0.64, 2x weight). Forward P/E of 23.7 is above the 20 target but well below the 60 floor (score 0.91), and profit margin of 14.3% scores below the 20% target (score 0.72). PEG ratio of 1.66 provides moderate growth-at-reasonable-price positioning (score 0.67, 2x weight). Daily dollar volume of $483M provides strong institutional liquidity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Johnson Controls demonstrates mixed infinite game characteristics — a 140-year heritage in building technology and a bold divestiture of its automotive business signal long-term thinking, but the company's relatively recent strategic reinvention (post-2019) has not yet been tested through a full economic cycle. The Just Cause of reimagining building performance for people and planet is genuine and supported by consistent capital allocation, but competitive language remains focused on market positioning rather than self-improvement, and organizational culture data is insufficient to assess trust levels across 87,000 employees.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JCI's purpose of reimagining building performance for people, places, and the planet is genuine, specific, and validated by the $13B Power Solutions divestiture — the company walked away from a profitable legacy business to focus exclusively on smart building technology [1][2]. The cause connects building technology to sustainability and human wellbeing, and leadership references it in strategic decisions including the data center expansion and OpenBlue platform development. However, the current articulation of purpose dates to the post-2019 transformation and has not yet been tested through a full economic downturn or leadership transition to prove multi-decade durability.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JCI maintains a stable 87,000-person global workforce with consistent executive leadership, and the company's organizational development programs suggest investment in employee engagement [2]. However, no specific voluntary turnover data, average tenure statistics, or evidence of psychological safety practices was identified in public sources, making it impossible to distinguish JCI's organizational trust from industry averages.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JCI's competitive language centers on market leadership and growth metrics — record backlog, organic order growth, and market share in building technology — rather than acknowledging competitors' strengths or framing competition as motivation for self-improvement [1]. No evidence was found of management commentary referencing learning from rivals like Trane Technologies, Carrier, or Honeywell.</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JCI's divestiture of the Power Solutions automotive battery business in 2019 for $13B was a significant strategic pivot, transforming the company from a diversified industrial conglomerate into a pure-play building technology leader [1]. This was a meaningful evolution that required abandoning a profitable, established business line. However, the pivot was incremental rather than transformative — JCI was already in building technology and expanded its focus rather than entering an entirely new market.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$13B Power Solutions divestiture required leadership courage — selling a highly profitable automotive battery business to concentrate resources on building technology during a period when the outcome was uncertain [1]. Management also invested heavily in OpenBlue and data center capabilities before those markets reached current growth rates. However, these represent a single strategic decision rather than a sustained pattern of courageous capital allocation across multiple cycles.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Johnson Controls at $145.47 with an $88B market cap is executing an impressive growth acceleration as the building technology leader riding secular tailwinds in data center construction and energy efficiency. Q3 FY2026 delivered $6.6B in revenue (up 9% YoY) with adjusted EPS of $1.42 (up 35% YoY), while organic orders surged 27% and backlog reached a record $21B (up 32% YoY), providing multi-year revenue visibility [1]. Management raised FY2026 guidance to approximately 8% organic revenue growth and ~$5.05 adjusted EPS, with data center solutions now representing high-teens percentage of revenue and growing rapidly. The OpenBlue digital platform positions JCI to capture recurring software and services revenue from its massive global installed base, while the balance sheet is well-managed with D/E of 70% and $3.0B in free cash flow [1].</w:t>
      </w:r>
    </w:p>
    <w:p>
      <w:pPr>
        <w:spacing w:after="120"/>
      </w:pPr>
      <w:r>
        <w:rPr>
          <w:rFonts w:ascii="Calibri" w:hAnsi="Calibri"/>
          <w:b w:val="0"/>
          <w:color w:val="3A4A28"/>
          <w:sz w:val="20"/>
        </w:rPr>
        <w:t>The bear case centers on premium valuation and execution risk. At 23.7x forward earnings and 41x trailing P/E, JCI prices in sustained high-single-digit growth, leaving limited margin of safety if the data center construction cycle decelerates or building activity slows in a macroeconomic downturn [1]. Profit margin of 14.3% remains modest for a company pursuing a technology premium, and the 3-year revenue CAGR of just 4.6% reveals that the current acceleration follows years of low-single-digit growth. The subsidiary PFAS liability from Tyco Fire Products firefighting foam remains a potential tail risk, with a $17.5M settlement in 2021 and ongoing multi-district litigation [3]. Infrastructure margins face pressure from input cost inflation and competitive pricing in commoditized HVAC product lines, and the company's 1.1% dividend yield provides minimal downside protection for income-oriented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$21B backlog with 27% organic order growth provides 3.4 quarters of revenue visibility and de-risks FY2027-FY2028 revenue estimates, with data center solutions accelerating to high-teens percentage of sales [1]</w:t>
      </w:r>
    </w:p>
    <w:p>
      <w:pPr>
        <w:spacing w:before="40" w:after="40"/>
        <w:ind w:left="283"/>
      </w:pPr>
      <w:r>
        <w:rPr>
          <w:rFonts w:ascii="Calibri" w:hAnsi="Calibri"/>
          <w:b/>
          <w:color w:val="4A6B25"/>
          <w:sz w:val="20"/>
        </w:rPr>
        <w:t xml:space="preserve">2. </w:t>
      </w:r>
      <w:r>
        <w:rPr>
          <w:rFonts w:ascii="Calibri" w:hAnsi="Calibri"/>
          <w:b w:val="0"/>
          <w:color w:val="3A4A28"/>
          <w:sz w:val="20"/>
        </w:rPr>
        <w:t>OpenBlue digital platform expands recurring software and services revenue from JCI's global installed base, supporting margin expansion from 14.3% toward management's mid-to-high teens operating margin target as AI-powered building management gains adoption [2]</w:t>
      </w:r>
    </w:p>
    <w:p>
      <w:pPr>
        <w:spacing w:before="40" w:after="40"/>
        <w:ind w:left="283"/>
      </w:pPr>
      <w:r>
        <w:rPr>
          <w:rFonts w:ascii="Calibri" w:hAnsi="Calibri"/>
          <w:b/>
          <w:color w:val="4A6B25"/>
          <w:sz w:val="20"/>
        </w:rPr>
        <w:t xml:space="preserve">3. </w:t>
      </w:r>
      <w:r>
        <w:rPr>
          <w:rFonts w:ascii="Calibri" w:hAnsi="Calibri"/>
          <w:b w:val="0"/>
          <w:color w:val="3A4A28"/>
          <w:sz w:val="20"/>
        </w:rPr>
        <w:t>Secular tailwinds from energy efficiency mandates, decarbonization requirements, and hyperscaler data center construction provide multi-year demand visibility independent of macroeconomic cycles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Premium valuation at 23.7x forward earnings and PEG of 1.66 leaves limited margin of safety if data center construction activity decelerates or commercial building starts decline in an economic slowdown [1]</w:t>
      </w:r>
    </w:p>
    <w:p>
      <w:pPr>
        <w:spacing w:before="40" w:after="40"/>
        <w:ind w:left="283"/>
      </w:pPr>
      <w:r>
        <w:rPr>
          <w:rFonts w:ascii="Calibri" w:hAnsi="Calibri"/>
          <w:b/>
          <w:color w:val="4A6B25"/>
          <w:sz w:val="20"/>
        </w:rPr>
        <w:t xml:space="preserve">2. </w:t>
      </w:r>
      <w:r>
        <w:rPr>
          <w:rFonts w:ascii="Calibri" w:hAnsi="Calibri"/>
          <w:b w:val="0"/>
          <w:color w:val="3A4A28"/>
          <w:sz w:val="20"/>
        </w:rPr>
        <w:t>PFAS liability exposure through subsidiary Tyco Fire Products' firefighting foam contamination remains an ongoing legal risk, with the $17.5M 2021 settlement representing a fraction of potential total multi-district litigation costs [3]</w:t>
      </w:r>
    </w:p>
    <w:p>
      <w:pPr>
        <w:spacing w:before="40" w:after="40"/>
        <w:ind w:left="283"/>
      </w:pPr>
      <w:r>
        <w:rPr>
          <w:rFonts w:ascii="Calibri" w:hAnsi="Calibri"/>
          <w:b/>
          <w:color w:val="4A6B25"/>
          <w:sz w:val="20"/>
        </w:rPr>
        <w:t xml:space="preserve">3. </w:t>
      </w:r>
      <w:r>
        <w:rPr>
          <w:rFonts w:ascii="Calibri" w:hAnsi="Calibri"/>
          <w:b w:val="0"/>
          <w:color w:val="3A4A28"/>
          <w:sz w:val="20"/>
        </w:rPr>
        <w:t>Profit margin of 14.3% lags technology-sector peers despite premium valuation, and margin expansion depends on successful OpenBlue platform scaling and mix shift toward higher-margin services that face competitive pressure from Honeywell, Siemens, and Trane Technologies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JCI's core business — manufacturing, installing, and servicing physical HVAC, fire suppression, and security systems for buildings — is structurally immune to AI substitution, as these operations require physical infrastructure, regulatory compliance (building codes, fire safety standards), and on-site service that AI cannot replace [1][2]. AI actually increases demand for JCI's products as data center construction accelerates, driving the company's data center revenue to high-teens percentage of FY2026 sales and backlog to a record $21B. The OpenBlue platform positions JCI as a beneficiary of AI-driven building optimization rather than a victim. However, some commoditized product lines and basic building management services could face margin pressure from AI-enabled competitors offering lower-cost monitoring. AI Opportunity (1/1): OpenBlue generates quantifiable revenue from AI-powered building management, energy optimization, and predictive maintenance services deployed across JCI's global installed base, and the company was recognized by the Business Roundtable as a leading AI adopter with two executives named to Constellation Research's AI 150 list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Johnson Controls Q3 FY2026 Earnings — $6.6B Revenue (+9% YoY), Adjusted EPS $1.42 (+35%), Record $21B Backlog, FY2026 Guidance Raised to ~$5.05 EPS — MarketBeat, SecuritySystemsNews, Zacks, July 2026</w:t>
      </w:r>
    </w:p>
    <w:p>
      <w:pPr>
        <w:spacing w:before="20" w:after="20"/>
        <w:ind w:left="170"/>
      </w:pPr>
      <w:r>
        <w:rPr>
          <w:rFonts w:ascii="Calibri" w:hAnsi="Calibri"/>
          <w:b/>
          <w:color w:val="4A6B25"/>
          <w:sz w:val="15"/>
        </w:rPr>
        <w:t xml:space="preserve">2. </w:t>
      </w:r>
      <w:r>
        <w:rPr>
          <w:rFonts w:ascii="Calibri" w:hAnsi="Calibri"/>
          <w:b w:val="0"/>
          <w:color w:val="3A4A28"/>
          <w:sz w:val="17"/>
        </w:rPr>
        <w:t>Johnson Controls AI Leadership — Business Roundtable Recognition, Constellation Research AI 150 (Vijay Sankaran, Josh Lee), OpenBlue Digital Platform — SecurityWorldMarket, JohnsonControls.com, 2025-2026</w:t>
      </w:r>
    </w:p>
    <w:p>
      <w:pPr>
        <w:spacing w:before="20" w:after="20"/>
        <w:ind w:left="170"/>
      </w:pPr>
      <w:r>
        <w:rPr>
          <w:rFonts w:ascii="Calibri" w:hAnsi="Calibri"/>
          <w:b/>
          <w:color w:val="4A6B25"/>
          <w:sz w:val="15"/>
        </w:rPr>
        <w:t xml:space="preserve">3. </w:t>
      </w:r>
      <w:r>
        <w:rPr>
          <w:rFonts w:ascii="Calibri" w:hAnsi="Calibri"/>
          <w:b w:val="0"/>
          <w:color w:val="3A4A28"/>
          <w:sz w:val="17"/>
        </w:rPr>
        <w:t>Johnson Controls ESG and PFAS Litigation — Tyco Fire Products $17.5M PFAS Settlement, Sustainalytics #6/148 ESG Ranking — SEC Filings, Sustainalytics, Law360, 2021-2026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