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JFR</w:t>
      </w:r>
      <w:r>
        <w:rPr>
          <w:rFonts w:ascii="Calibri" w:hAnsi="Calibri"/>
          <w:b/>
          <w:color w:val="1A2010"/>
          <w:sz w:val="40"/>
        </w:rPr>
        <w:t xml:space="preserve">  Nuveen Floating Rate Income Fund</w:t>
      </w:r>
    </w:p>
    <w:p>
      <w:pPr>
        <w:spacing w:after="120"/>
      </w:pPr>
      <w:r>
        <w:rPr>
          <w:rFonts w:ascii="Calibri" w:hAnsi="Calibri"/>
          <w:b/>
          <w:color w:val="6E8450"/>
          <w:sz w:val="18"/>
        </w:rPr>
        <w:t>DIVIDEND SLEEVE · 2026-10-01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Closed-End Fund · NYSE · United States</w:t>
      </w:r>
    </w:p>
    <w:p>
      <w:pPr>
        <w:spacing w:after="80"/>
      </w:pPr>
      <w:r>
        <w:rPr>
          <w:rFonts w:ascii="Calibri" w:hAnsi="Calibri"/>
          <w:b w:val="0"/>
          <w:color w:val="3A4A28"/>
          <w:sz w:val="20"/>
        </w:rPr>
        <w:t>Nuveen Floating Rate Income Fund (JFR) is a diversified closed-end management investment company co-managed by Nuveen Fund Advisors LLC and Symphony Asset Management LLC. The fund invests at least 80% of assets in secured and unsecured senior loans and at least 65% in senior loans secured by specific collateral. Formed in March 2004, JFR traded at a 7.6% discount to NAV of $8.52 as of January 2026, with monthly distributions of $0.0780/share (12.2% distribution rate on market price) and $18.57 total distributions per share since inception.</w:t>
      </w:r>
    </w:p>
    <w:p>
      <w:r>
        <w:rPr>
          <w:rFonts w:ascii="Calibri" w:hAnsi="Calibri"/>
          <w:b/>
          <w:color w:val="6E8450"/>
          <w:sz w:val="18"/>
        </w:rPr>
        <w:t>https://www.nuveen.com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JFR is a closed-end fund vehicle, not an operating company — it does not launch products, pivot business models, or enter new markets. The fund has invested in floating rate senior loans since its 2004 inception using substantially the same strategy for 22 years [1]. While strategy consistency is a virtue for income funds, it reflects no innovation by the IOWN checklist criteria. AI Deployment (0/2): No AI-powered products or AI-driven operational improvements. The fund's sub-adviser Symphony Asset Management uses fundamental credit analysis and equity market valuation signals, but no quantifiable AI deployment was identified [2]. Market Share (0/2): JFR is one of dozens of floating rate loan closed-end funds in a commoditized asset management market, with no dominant share or meaningful competitive differentiation beyond the Nuveen/Symphony brand. Product Pipeline (0/2): No next-generation products — the fund will continue investing in senior secured loans as mandated by its charter. R&amp;D Intensity (0/1): Not applicable — fund vehicles do not conduct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Nuveen's parent TIAA has a broader mission around retirement security and 'lifetime financial well-being,' but JFR itself is a fund vehicle with the functional purpose of generating floating rate income for shareholders. The fund's investment objective — 'high current income' — is a financial goal, not a purpose statement that inspires beyond the obvious [1]. Community Impact (0/2): No evidence of charitable programs, community investment, or philanthropic activity at the fund level. Nuveen's broader corporate ESG initiatives were not attributable to this specific fund vehicle. Employee Retention (0/2): Not applicable — JFR is a fund vehicle managed by external advisors (Nuveen Fund Advisors and Symphony Asset Management), not an employer with its own workforce. No employee culture metrics apply. Insider Buying (0/2): No evidence of insider buying by fund managers or board members.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Forward P/E, which is null for this CEF). D/E of 38.0% reflects the fund's structural leverage ($521M debt) which is moderate for a leveraged CEF (score 1.0) [3]. ROE of 6.1% is below the 15% target, typical for a leveraged loan fund generating steady income rather than high returns on equity (score 0.41). Profit margin of 44.5% reflects the fund's net investment income efficiency (score 1.0). Revenue (investment income) grew 4.3% YoY (score 0.81) with estimated 5-year CAGR of ~5% as floating rates rose from 2022 lows (score 0.67). The fund has paid distributions continuously for 22 years since 2004 inception (score 1.0, 2x weight), but GAAP payout ratio of ~300% reflects distributions exceeding net income due to return of capital components — 21% of current distributions are estimated return of capital (score 0.0) [1]. Estimated 3 consecutive years of distribution increases during the rate-hike cycle (score 0.3). 5-year distribution growth CAGR of ~5% as floating rate income rose with Fed funds rate (score 0.83, 2x weight). Weighted sum: 7.85/11.0 = Infrastructure 7. Liquidity: 622,393 avg volume x $7.41 = $4.6M daily dollar volume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JFR is a closed-end fund vehicle — not an organization with a Just Cause, teams to trust, or strategic flexibility to exercise. The fund has operated continuously for 22 years paying distributions, which demonstrates durability, but durability of a financial vehicle is fundamentally different from the infinite-game qualities Sinek evaluates in companies. The fund exists to generate income for shareholders through a fixed investment mandate, which is inherently a finite objective measured in basis points and distribution rates.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JFR's purpose is 'high current income' — a financial objective, not a Just Cause. The fund does not articulate a vision of a better future, does not inspire people to sacrifice, and exists solely as a financial vehicle for income generation [1]. This is the purest form of finite-game play: maximizing a measurable outcome (yield) with no reference to purpose beyond financial return.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Not meaningfully applicable — JFR is a fund vehicle managed by external advisors (Nuveen Fund Advisors LLC and Symphony Asset Management LLC), not an organization with its own employees, culture, or team dynamics [2]. Portfolio manager Scott Caraher and CIO Gunther Stein manage the fund as part of their broader responsibilities, but there is no JFR 'team' in the organizational sense that Sinek evaluates.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mindset — finite or infinite — in fund management commentary. The fund operates in a competitive landscape with dozens of floating rate CEFs (JQC, BGT, EFR, etc.) but fund reports discuss portfolio positioning and market conditions rather than competitive dynamics or self-improvement driven by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fund's floating rate loan structure provides inherent adaptability — as interest rates change, the portfolio's income adjusts automatically, providing a built-in flexibility mechanism that fixed-rate funds lack [1]. The fund has navigated multiple rate cycles (2004-2026) including the near-zero rate era and the 2022-2024 hiking cycle, demonstrating structural resilience. However, this is a product feature, not a strategic choice — the fund cannot pivot to a different asset class or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by fund management. Portfolio positioning decisions within a floating rate loan mandate are risk management, not courage in the Sinek sense. Nuveen's lower average annual default rate (1.09% vs. JPM Loan Market 2.50%) demonstrates competent credit selection but not the kind of principled sacrifice or long-term bet-making that defines courageous leadership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JFR offers a 12.6% distribution yield with 22 consecutive years of payments, trading at a 13% discount to NAV ($7.41 price vs. ~$8.52 NAV), providing leveraged exposure to senior secured floating rate loans managed by Nuveen (TIAA subsidiary) and Symphony Asset Management [1][3]. The fund's floating rate structure provides natural inflation protection and benefits from higher-for-longer interest rates, with investment income growing 4.3% YoY. Nuveen's credit selection track record is strong — a 1.09% average annual default rate versus the 2.50% JPM Loan Market average demonstrates risk management discipline [2]. The discount to NAV offers a margin of safety for income investors, and the 0.87x price-to-book provides a de facto entry point below intrinsic value.</w:t>
      </w:r>
    </w:p>
    <w:p>
      <w:pPr>
        <w:spacing w:after="120"/>
      </w:pPr>
      <w:r>
        <w:rPr>
          <w:rFonts w:ascii="Calibri" w:hAnsi="Calibri"/>
          <w:b w:val="0"/>
          <w:color w:val="3A4A28"/>
          <w:sz w:val="20"/>
        </w:rPr>
        <w:t>The bear case reflects fundamental limitations of the IOWN framework applied to a closed-end fund vehicle. JFR scores zero on innovation and near-zero on inspiration and infinite game because it is a passive income vehicle, not an operating company with products, R&amp;D, culture, or strategic vision [1]. The 300% GAAP payout ratio (distributions of $0.936/share vs. $0.34 EPS) includes 21% return of capital, meaning the fund is partially returning investors' own capital as 'income' — a structural concern for long-term NAV preservation [1]. Earnings declined 52.8% YoY, reflecting lower unrealized gains and potential credit deterioration. The fund employs structural leverage ($521M debt), which amplifies both returns and losses. If credit spreads widen or defaults increase during an economic downturn, leveraged loan losses could accelerate and the discount to NAV could widen further. The 12.6% yield may attract income seekers but masks the risks of leveraged credit exposure in a late-cycle economy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Higher-for-longer interest rate environment sustaining elevated floating rate income and supporting continued 12%+ distribution yields on the leveraged senior loan portfolio [1]</w:t>
      </w:r>
    </w:p>
    <w:p>
      <w:pPr>
        <w:spacing w:before="40" w:after="40"/>
        <w:ind w:left="283"/>
      </w:pPr>
      <w:r>
        <w:rPr>
          <w:rFonts w:ascii="Calibri" w:hAnsi="Calibri"/>
          <w:b/>
          <w:color w:val="4A6B25"/>
          <w:sz w:val="20"/>
        </w:rPr>
        <w:t xml:space="preserve">2. </w:t>
      </w:r>
      <w:r>
        <w:rPr>
          <w:rFonts w:ascii="Calibri" w:hAnsi="Calibri"/>
          <w:b w:val="0"/>
          <w:color w:val="3A4A28"/>
          <w:sz w:val="20"/>
        </w:rPr>
        <w:t>Discount to NAV of ~13% provides a margin of safety and potential for NAV convergence if fund performance attracts institutional buying or triggers buyback activity</w:t>
      </w:r>
    </w:p>
    <w:p>
      <w:pPr>
        <w:spacing w:before="40" w:after="40"/>
        <w:ind w:left="283"/>
      </w:pPr>
      <w:r>
        <w:rPr>
          <w:rFonts w:ascii="Calibri" w:hAnsi="Calibri"/>
          <w:b/>
          <w:color w:val="4A6B25"/>
          <w:sz w:val="20"/>
        </w:rPr>
        <w:t xml:space="preserve">3. </w:t>
      </w:r>
      <w:r>
        <w:rPr>
          <w:rFonts w:ascii="Calibri" w:hAnsi="Calibri"/>
          <w:b w:val="0"/>
          <w:color w:val="3A4A28"/>
          <w:sz w:val="20"/>
        </w:rPr>
        <w:t>Nuveen's credit selection discipline (1.09% default rate vs. 2.50% market average) could preserve capital better than peers if credit conditions deteriorate, maintaining distribution stability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payout ratio of 300% with 21% return of capital in distributions indicates the fund is partially distributing investors' own principal, creating structural NAV erosion risk if credit income does not recover [1]</w:t>
      </w:r>
    </w:p>
    <w:p>
      <w:pPr>
        <w:spacing w:before="40" w:after="40"/>
        <w:ind w:left="283"/>
      </w:pPr>
      <w:r>
        <w:rPr>
          <w:rFonts w:ascii="Calibri" w:hAnsi="Calibri"/>
          <w:b/>
          <w:color w:val="4A6B25"/>
          <w:sz w:val="20"/>
        </w:rPr>
        <w:t xml:space="preserve">2. </w:t>
      </w:r>
      <w:r>
        <w:rPr>
          <w:rFonts w:ascii="Calibri" w:hAnsi="Calibri"/>
          <w:b w:val="0"/>
          <w:color w:val="3A4A28"/>
          <w:sz w:val="20"/>
        </w:rPr>
        <w:t>Structural leverage ($521M debt, 38% D/E) amplifies losses in credit downturns — widening credit spreads or rising defaults could cause accelerated NAV declines and potential distribution cuts</w:t>
      </w:r>
    </w:p>
    <w:p>
      <w:pPr>
        <w:spacing w:before="40" w:after="40"/>
        <w:ind w:left="283"/>
      </w:pPr>
      <w:r>
        <w:rPr>
          <w:rFonts w:ascii="Calibri" w:hAnsi="Calibri"/>
          <w:b/>
          <w:color w:val="4A6B25"/>
          <w:sz w:val="20"/>
        </w:rPr>
        <w:t xml:space="preserve">3. </w:t>
      </w:r>
      <w:r>
        <w:rPr>
          <w:rFonts w:ascii="Calibri" w:hAnsi="Calibri"/>
          <w:b w:val="0"/>
          <w:color w:val="3A4A28"/>
          <w:sz w:val="20"/>
        </w:rPr>
        <w:t>Fed rate cuts would directly reduce the fund's floating rate income, compressing the distribution yield that is JFR's primary investment thesis, potentially triggering distribution reductions and share price declines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JFR invests in senior secured floating rate loans — physical legal contracts backed by collateral with complex credit documentation, workout processes, and relationship-driven deal flow that AI cannot replicate or substitute [2]. The credit markets JFR participates in involve negotiated terms, legal enforcement rights, and bankruptcy processes that are structurally resistant to AI disruption. The fund's underlying borrowers are diverse corporate issuers across industries, providing broad-based AI resilience. However, AI could improve competing fund managers' credit analysis capabilities, potentially compressing JFR's information advantage, and AI-enabled automated lending platforms could eventually reduce demand for traditional leveraged loans. AI Opportunity (0/1): No AI revenue generation. The fund is a passive investment vehicle that does not develop or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Nuveen Floating Rate Income Fund Q2 2026 Shareholder Report (N-CSRS) — Distribution Data, NAV, Return of Capital Estimates</w:t>
      </w:r>
    </w:p>
    <w:p>
      <w:pPr>
        <w:spacing w:before="20" w:after="20"/>
        <w:ind w:left="170"/>
      </w:pPr>
      <w:r>
        <w:rPr>
          <w:rFonts w:ascii="Calibri" w:hAnsi="Calibri"/>
          <w:b/>
          <w:color w:val="4A6B25"/>
          <w:sz w:val="15"/>
        </w:rPr>
        <w:t xml:space="preserve">2. </w:t>
      </w:r>
      <w:r>
        <w:rPr>
          <w:rFonts w:ascii="Calibri" w:hAnsi="Calibri"/>
          <w:b w:val="0"/>
          <w:color w:val="3A4A28"/>
          <w:sz w:val="17"/>
        </w:rPr>
        <w:t>Nuveen/Symphony Asset Management — Fund Management Profile, Credit Risk Methodology, Default Rate Data</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 — JFR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