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JHX</w:t>
      </w:r>
      <w:r>
        <w:rPr>
          <w:rFonts w:ascii="Calibri" w:hAnsi="Calibri"/>
          <w:b/>
          <w:color w:val="1A2010"/>
          <w:sz w:val="40"/>
        </w:rPr>
        <w:t xml:space="preserve">  James Hardie Industries plc</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Building Materials · NYSE · Ireland</w:t>
      </w:r>
    </w:p>
    <w:p>
      <w:pPr>
        <w:spacing w:after="80"/>
      </w:pPr>
      <w:r>
        <w:rPr>
          <w:rFonts w:ascii="Calibri" w:hAnsi="Calibri"/>
          <w:b w:val="0"/>
          <w:color w:val="3A4A28"/>
          <w:sz w:val="20"/>
        </w:rPr>
        <w:t>James Hardie Industries, headquartered in Dublin, Ireland with major operations in Chicago, is the pioneer and North American leader in fiber cement building products (Hardie brand siding, trim, and backer board). The company completed its $8.4B acquisition of The AZEK Company on July 1, 2025, adding TimberTech and AZEK Exteriors composite decking, Versatex trim, StruXure pergolas, Ultralox railing, and Intex products. FY2026 (ended March 2026) revenue reached $4.84B (+24.7% YoY) with adjusted EBITDA of $1.27B (26.2% margin), though organic net sales declined ~2% and diluted EPS fell to $0.19 on integration and acquisition-related costs. Q4 FY26 net sales rose 45% to $1.4B including $445M of AZEK revenue. Management projects low single-digit growth in North American volumes for FY27.</w:t>
      </w:r>
    </w:p>
    <w:p>
      <w:r>
        <w:rPr>
          <w:rFonts w:ascii="Calibri" w:hAnsi="Calibri"/>
          <w:b/>
          <w:color w:val="6E8450"/>
          <w:sz w:val="18"/>
        </w:rPr>
        <w:t>7,500 Employees · https://www.jameshardie.com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$8.4B AZEK acquisition, completed July 1, 2025, transformed James Hardie from a single-category fiber cement siding manufacturer into a multi-category exterior and outdoor living platform spanning siding, decking, trim, railing, and pergolas — a genuinely transformative business redefinition, with integration delivering cost and commercial synergies 'ahead of schedule' per management [1][2]. AI Deployment (0/2): No evidence of AI-powered products, services, or quantified AI-driven efficiency gains was found. Market Share (2/2): James Hardie is the long-standing North American category leader in fiber cement siding, and the AZEK brands (TimberTech, AZEK Exteriors) hold leading positions in engineered/composite decking, giving the combined company a stated claim to be 'a leading provider' across its core categories [1][2]. Product Pipeline (1/2): Management has articulated commercial and cost synergy targets from the AZEK integration and continued innovation investment, but no specific next-generation products with named launch dates were found. R&amp;D Intensity (0/1): No R&amp;D-as-percent-of-revenue disclosure relative to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James Hardie's current messaging centers on a 'Zero Harm' culture and 'ONEHardie' values framework prioritizing safety of products, people, partners, customers, and communities — but this reads as a reactive reform narrative given the company's defining historical episode: as Australia's dominant asbestos manufacturer, James Hardie was found to have persistently evaded responsibility for asbestos-related harm attributed to over half of the country's documented mesothelioma cases, ultimately requiring New South Wales government intervention to sustain victim compensation [3]. Community Impact (0/2): The company has contributed over A$1.6B to an asbestos compensation fund, but this is compensatory restitution for harm the company caused rather than voluntary charitable or community investment, so no credit is given. Employee Retention (1/2): The 'ONEHardie' people framework and positive employee descriptions of a 'winning culture built on trust' suggest adequate retention, though no specific tenure or turnover data was found [4]. Insider Buying (0/2): No net insider buying/selling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(PEG unavailable and excluded). Liquidity check passes: $25.90 x 9.2M avg daily volume = $238.6M. Revenue growth metrics score at maximum: trailing YoY revenue growth of 63.9% (largely AZEK-driven; organic net sales declined ~2%), and 5-year revenue CAGR of ~10.7% (FY2021 $2.91B to FY2026 $4.84B) both clear their targets [1][5]. D/E of 69.1% is just inside the 70% target (score 1.0, 1x weight), and Forward P/E of 16.4 clears the 20 target (score 1.0, 1x weight). The clear drags are profitability: ROE of 3.3% (score 0.22, 2x weight) and profit margin of 2.7% (score 0.13, 1x weight) are both far below targets, reflecting AZEK integration expenses and the $4.6B debt load [1][6]. Weighted sum 5.58 / max 8.0 = 6.97, rounded to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James Hardie's AZEK acquisition demonstrates real existential flexibility, expanding the company from a single-category siding manufacturer into a broader exterior and outdoor living platform, and management's willingness to accept near-term EPS compression for long-term platform diversification shows strategic courage. But Sinek's Just Cause test asks whether a company's purpose has been consistently lived across crises — and James Hardie's defining historical crisis was the company's own asbestos liability evasion, one of the most serious corporate accountability failures in Australian history. The current 'Zero Harm' and 'ONEHardie' framing is a credible but still-unproven reform against that legacy, and the 2022 CEO firing for misconduct adds another governance blemish.</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James Hardie's 'Zero Harm' safety commitment is a genuine articulated value, but it functions as a reform response to the company's own historical conduct rather than a resilient, decades-validated cause — James Hardie was found to have persistently evaded compensating asbestos victims attributed to over half of Australia's documented mesothelioma cases before government intervention forced continued fund contributions [3]. A cause tested by that history and only recently reformed cannot yet score above shallow.</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'ONEHardie' people framework and employee descriptions of a 'winning culture built on trust' suggest organizational stability, and CEO Aaron Erter (appointed 2022 after Jack Truong was fired for misconduct) has provided leadership continuity [4]. However, the 2022 CEO firing for inappropriate conduct is a significant trust breakdown at the leadership level, and no specific tenure or turnover data is available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James Hardie publicly framing competitors in fiber cement or composite decking (e.g., LP Building Solutions, Trex) as worthy rivals or referencing competitive dynamics as a driver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$8.4B AZEK acquisition, completed July 1, 2025, transformed James Hardie from a single-category fiber cement siding company into a multi-category exterior and outdoor living solutions platform (siding, decking, trim, railing, pergolas) — a genuine, transformative business-model reinvention with synergies being delivered 'ahead of schedule' per management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committed to the $8.4B AZEK deal and accepted a $4.6B debt load and near-term EPS compression (diluted EPS fell to $0.19 despite 24.7% revenue growth) in service of long-term category expansion — a real sacrifice of near-term earnings for strategic capability, though it is a single major decision rather than a demonstrated pattern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James Hardie at $25.90 with a $15.0B market cap has materially de-risked its forward valuation since the August screen — Forward P/E compressed from 21.2x to 16.4x as the stock declined ~15%, while the AZEK integration progresses with synergies 'ahead of schedule' [1][2]. The $8.4B AZEK acquisition transformed the company from a single-category fiber cement leader into a diversified exterior and outdoor living platform, driving FY2026 revenue up 24.7% to $4.84B and Q4 FY26 net sales up 45% to $1.4B. The combined company claims category leadership across fiber cement siding and engineered/composite decking, and the 5-year revenue CAGR of ~10.7% with D/E of 69.1% reflects a business that, even with acquisition debt, maintains leverage just inside prudent thresholds.</w:t>
      </w:r>
    </w:p>
    <w:p>
      <w:pPr>
        <w:spacing w:after="120"/>
      </w:pPr>
      <w:r>
        <w:rPr>
          <w:rFonts w:ascii="Calibri" w:hAnsi="Calibri"/>
          <w:b w:val="0"/>
          <w:color w:val="3A4A28"/>
          <w:sz w:val="20"/>
        </w:rPr>
        <w:t>The bear case centers on weak underlying demand and profitability compression: organic net sales declined ~2% in FY2026, meaning virtually all headline growth is acquisition-driven rather than organic demand strength, and management projects only 'low single-digit' North American volume growth for FY27, flagging continued housing market softness [1][6]. ROE of 3.3% and profit margin of 2.7% reflect the drag of AZEK integration expenses and a $4.6B debt load that analysts have described as 'uncomfortably high,' while net profit fell 75% YoY to $104M despite the revenue surge [1]. Trailing P/E of 103.6x underscores that current reported earnings are far below normalized levels, and recovery depends on successful cost synergy realization. Separately, the asbestos compensation legacy (A$1.6B+ fund, ongoing actuarial reviews) and the 2022 CEO firing for misconduct represent governance and reputational risks for values-aligned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Realization of AZEK commercial and cost synergies progressing 'ahead of schedule,' expected to drive adjusted EBITDA margin expansion and free cash flow recovery as one-time integration costs roll off through FY27 [1][2]</w:t>
      </w:r>
    </w:p>
    <w:p>
      <w:pPr>
        <w:spacing w:before="40" w:after="40"/>
        <w:ind w:left="283"/>
      </w:pPr>
      <w:r>
        <w:rPr>
          <w:rFonts w:ascii="Calibri" w:hAnsi="Calibri"/>
          <w:b/>
          <w:color w:val="4A6B25"/>
          <w:sz w:val="20"/>
        </w:rPr>
        <w:t xml:space="preserve">2. </w:t>
      </w:r>
      <w:r>
        <w:rPr>
          <w:rFonts w:ascii="Calibri" w:hAnsi="Calibri"/>
          <w:b w:val="0"/>
          <w:color w:val="3A4A28"/>
          <w:sz w:val="20"/>
        </w:rPr>
        <w:t>Valuation compression to 16.4x forward earnings from 21.2x in August creates a more attractive entry point for investors willing to underwrite the integration thesis and organic demand recovery</w:t>
      </w:r>
    </w:p>
    <w:p>
      <w:pPr>
        <w:spacing w:before="40" w:after="40"/>
        <w:ind w:left="283"/>
      </w:pPr>
      <w:r>
        <w:rPr>
          <w:rFonts w:ascii="Calibri" w:hAnsi="Calibri"/>
          <w:b/>
          <w:color w:val="4A6B25"/>
          <w:sz w:val="20"/>
        </w:rPr>
        <w:t xml:space="preserve">3. </w:t>
      </w:r>
      <w:r>
        <w:rPr>
          <w:rFonts w:ascii="Calibri" w:hAnsi="Calibri"/>
          <w:b w:val="0"/>
          <w:color w:val="3A4A28"/>
          <w:sz w:val="20"/>
        </w:rPr>
        <w:t>Deleveraging from the $4.6B AZEK-related debt load as combined free cash flow scales, which would support ROE and profit margin recovery toward historical norms and potentially drive share repurchases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net sales declined ~2% in FY2026 and management projects only low single-digit North American growth for FY27, indicating underlying demand softness in core siding and decking categories that acquisition accounting is masking [1]</w:t>
      </w:r>
    </w:p>
    <w:p>
      <w:pPr>
        <w:spacing w:before="40" w:after="40"/>
        <w:ind w:left="283"/>
      </w:pPr>
      <w:r>
        <w:rPr>
          <w:rFonts w:ascii="Calibri" w:hAnsi="Calibri"/>
          <w:b/>
          <w:color w:val="4A6B25"/>
          <w:sz w:val="20"/>
        </w:rPr>
        <w:t xml:space="preserve">2. </w:t>
      </w:r>
      <w:r>
        <w:rPr>
          <w:rFonts w:ascii="Calibri" w:hAnsi="Calibri"/>
          <w:b w:val="0"/>
          <w:color w:val="3A4A28"/>
          <w:sz w:val="20"/>
        </w:rPr>
        <w:t>Weak current profitability (ROE 3.3%, profit margin 2.7%, trailing P/E 103.6x) combined with a $4.6B debt load described as 'uncomfortably high' leaves limited room for integration missteps or a housing-market downturn [1][6]</w:t>
      </w:r>
    </w:p>
    <w:p>
      <w:pPr>
        <w:spacing w:before="40" w:after="40"/>
        <w:ind w:left="283"/>
      </w:pPr>
      <w:r>
        <w:rPr>
          <w:rFonts w:ascii="Calibri" w:hAnsi="Calibri"/>
          <w:b/>
          <w:color w:val="4A6B25"/>
          <w:sz w:val="20"/>
        </w:rPr>
        <w:t xml:space="preserve">3. </w:t>
      </w:r>
      <w:r>
        <w:rPr>
          <w:rFonts w:ascii="Calibri" w:hAnsi="Calibri"/>
          <w:b w:val="0"/>
          <w:color w:val="3A4A28"/>
          <w:sz w:val="20"/>
        </w:rPr>
        <w:t>Reputational overhang from Australia's largest asbestos liability case (A$1.6B+ compensation fund, ongoing actuarial reviews) and the 2022 CEO firing for misconduct remain live considerations for governance-focused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James Hardie manufactures physical exterior building products — fiber cement siding, composite decking, trim, and railing — that require physical installation on physical homes; AI tools cannot substitute for the product itself, though AI-assisted design/specification tools could modestly affect the contractor sales process [1]. This is a structurally AI-immune manufacturing and building-products business where physical products must be manufactured, shipped, and installed regardless of software advances. AI Opportunity (0/1): No evidence of AI-related product or service revenue was found; this is a traditional manufacturing company with no AI monetization angle.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James Hardie FY2026 Results — Revenue $4.84B (+24.7%), Adj EBITDA $1.27B (26.2% Margin), Q4 Net Sales $1.4B (+45%), Net Profit $104M (-75%) — Fool.com.au, Barchart,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AZEK Acquisition Completed July 1, 2025 — Integration Synergies 'Ahead of Schedule,' Combined Exterior and Outdoor Living Platform — Fool.com.au, James Hardie IR, 2025-2026</w:t>
      </w:r>
    </w:p>
    <w:p>
      <w:pPr>
        <w:spacing w:before="20" w:after="20"/>
        <w:ind w:left="170"/>
      </w:pPr>
      <w:r>
        <w:rPr>
          <w:rFonts w:ascii="Calibri" w:hAnsi="Calibri"/>
          <w:b/>
          <w:color w:val="4A6B25"/>
          <w:sz w:val="15"/>
        </w:rPr>
        <w:t xml:space="preserve">3. </w:t>
      </w:r>
      <w:r>
        <w:rPr>
          <w:rFonts w:ascii="Calibri" w:hAnsi="Calibri"/>
          <w:b w:val="0"/>
          <w:color w:val="3A4A28"/>
          <w:sz w:val="17"/>
        </w:rPr>
        <w:t>James Hardie Asbestos Compensation Legacy — A$1.6B+ Fund, NSW Government Intervention, Ongoing Actuarial Reviews — SEC Filings, SafetySolutions, 2004-2026</w:t>
      </w:r>
    </w:p>
    <w:p>
      <w:pPr>
        <w:spacing w:before="20" w:after="20"/>
        <w:ind w:left="170"/>
      </w:pPr>
      <w:r>
        <w:rPr>
          <w:rFonts w:ascii="Calibri" w:hAnsi="Calibri"/>
          <w:b/>
          <w:color w:val="4A6B25"/>
          <w:sz w:val="15"/>
        </w:rPr>
        <w:t xml:space="preserve">4. </w:t>
      </w:r>
      <w:r>
        <w:rPr>
          <w:rFonts w:ascii="Calibri" w:hAnsi="Calibri"/>
          <w:b w:val="0"/>
          <w:color w:val="3A4A28"/>
          <w:sz w:val="17"/>
        </w:rPr>
        <w:t>James Hardie Leadership and Culture — CEO Aaron Erter (2022), 'ONEHardie' Values Framework, Jack Truong Firing, 'Winning Culture Built on Trust' — StockTitan, SEC Filings, James Hardie Annual Report, 2022-2026</w:t>
      </w:r>
    </w:p>
    <w:p>
      <w:pPr>
        <w:spacing w:before="20" w:after="20"/>
        <w:ind w:left="170"/>
      </w:pPr>
      <w:r>
        <w:rPr>
          <w:rFonts w:ascii="Calibri" w:hAnsi="Calibri"/>
          <w:b/>
          <w:color w:val="4A6B25"/>
          <w:sz w:val="15"/>
        </w:rPr>
        <w:t xml:space="preserve">5. </w:t>
      </w:r>
      <w:r>
        <w:rPr>
          <w:rFonts w:ascii="Calibri" w:hAnsi="Calibri"/>
          <w:b w:val="0"/>
          <w:color w:val="3A4A28"/>
          <w:sz w:val="17"/>
        </w:rPr>
        <w:t>James Hardie Revenue History FY2021-FY2026 — 5yr CAGR ~10.7%, $2.91B to $4.84B — StockAnalysis,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JHX Financial Data — P/E 103.6, Forward P/E 16.39, D/E 69.14%, ROE 3.31%, Profit Margin 2.69%, Avg Volume 9.2M, Price $25.90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