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JPC</w:t>
      </w:r>
      <w:r>
        <w:rPr>
          <w:rFonts w:ascii="Calibri" w:hAnsi="Calibri"/>
          <w:b/>
          <w:color w:val="1A2010"/>
          <w:sz w:val="40"/>
        </w:rPr>
        <w:t xml:space="preserve">  Nuveen Preferred &amp; Income Opportunities Fund</w:t>
      </w:r>
    </w:p>
    <w:p>
      <w:pPr>
        <w:spacing w:after="120"/>
      </w:pPr>
      <w:r>
        <w:rPr>
          <w:rFonts w:ascii="Calibri" w:hAnsi="Calibri"/>
          <w:b/>
          <w:color w:val="6E8450"/>
          <w:sz w:val="18"/>
        </w:rPr>
        <w:t>DIVIDEND SLEEVE · 2026-09-29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Closed-End Fund - Fixed Income · NYSE · United States</w:t>
      </w:r>
    </w:p>
    <w:p>
      <w:pPr>
        <w:spacing w:after="80"/>
      </w:pPr>
      <w:r>
        <w:rPr>
          <w:rFonts w:ascii="Calibri" w:hAnsi="Calibri"/>
          <w:b w:val="0"/>
          <w:color w:val="3A4A28"/>
          <w:sz w:val="20"/>
        </w:rPr>
        <w:t>Nuveen Preferred &amp; Income Opportunities Fund (JPC) is a diversified closed-end management investment company co-managed by Nuveen Fund Advisors LLC, Nuveen Asset Management, and NWQ Investment Management Company. The fund's primary objective is high current income with a secondary objective of total return, investing at least 80% of managed assets in preferred and other income-producing securities. Launched in 2003, JPC employs leverage and targets investment-grade securities. As of June 2026, illustrative NAV was $7.85 with the stock trading at a significant discount at $6.76. The fund pays monthly distributions and has approximately $2.5B in market capitalization.</w:t>
      </w:r>
    </w:p>
    <w:p>
      <w:r>
        <w:rPr>
          <w:rFonts w:ascii="Calibri" w:hAnsi="Calibri"/>
          <w:b/>
          <w:color w:val="6E8450"/>
          <w:sz w:val="18"/>
        </w:rPr>
        <w:t>https://www.nuveen.com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JPC is a passive income vehicle — a closed-end fund that buys and holds preferred securities. No product launches, business model transformations, or strategic pivots in the last five years beyond the 2023 merger with another Nuveen preferred fund, which was consolidation rather than innovation [1]. The fund has operated under the same preferred securities mandate since 2003. AI Deployment (0/2): No AI deployment or strategy at the fund level. Nuveen's broader asset management platform may use quantitative tools for portfolio construction, but JPC does not deploy AI in any customer-facing or operationally meaningful way. Market Share (1/2): JPC is one of the largest preferred securities CEFs by market capitalization at ~$2.5B, making it a meaningful player in the niche preferred securities closed-end fund space [1][2]. Product Pipeline (0/2): CEFs do not launch next-generation products. The fund's 37.5M share shelf registration enables share issuance but is not product innovation. R&amp;D Intensity (1/1): Nuveen's broader platform invests in portfolio analytics and credit research capabilities. Scored charitably.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Nuveen's purpose as an asset manager — helping clients invest for the long term with responsible investing principles — is clear but generic. The parent company (TIAA-Nuveen) has roots in serving educators and non-profit workers, adding purposefulness, but JPC as a specific fund does not independently articulate a mission beyond high current income [2]. Nuveen has published research on ESG integration and responsible investing, including navigating AI's ESG risks [3]. Community Impact (1/2): TIAA-Nuveen has a strong responsible investing heritage, but JPC itself is a preferred securities fund without specific community impact programs. The fund's credit quality distribution (10.6% BBB, 78.5% BB or lower) suggests some exposure to companies with varying ESG profiles [1]. Employee Retention (1/2): Nuveen's portfolio management teams generally have long tenures. The fund has been continuously managed since 2003. However, JPC has no employees — it is managed by Nuveen's professional investment team. Insider Buying (0/2): No insider buying data; as a CEF, there are no corporate insiders in the traditional sense.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sleeve metrics, adjusted for CEF structure. D/E of 45.0% (fund leverage) is well below the 70% target (score 1.0) — improved from prior period as leverage was reduced [4]. ROE of 9.74% is below the 15% target (score 0.65) [4]. Trailing P/E of 7.51 implies a forward P/E of approximately 8x, well below the 20 target (score 1.0) [4]. Profit margin of 93.9% reflects CEF fund accounting where most income passes through (score 1.0, but misleading for cross-sector comparison) [4]. Revenue growth metrics are not meaningful for CEFs where 'revenue' is investment income fluctuating with rates. Dividend metrics: payout ratio of 87.3% improved significantly from ~97% in prior periods (score 0.21), providing better distribution cushion [4]; consecutive years paid ~23 (score 1.0, 2× weight); consecutive years growth 0 (score 0.0); 5-year dividend growth CAGR approximately -5% reflecting post-merger distribution restructuring (score 0.0, 2× weight). Daily dollar volume of ~$8.6M passes the liquidity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JPC as a closed-end fund is inherently a finite game construct — it exists to generate income for shareholders through leveraged preferred securities investing. The IOWN Infinite Game framework is designed for operating companies with employees, culture, and strategic agency; a CEF lacks these characteristics by design. Nuveen's long-term asset management heritage under TIAA provides some institutional durability, and the 23-year fund history demonstrates persistence, but the fund operates under a fixed mandate with no capacity for strategic reinvention.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JPC has no Just Cause — it is a financial vehicle designed to generate high current income through leveraged preferred securities investing [2]. The fund's mandate is purely financial with no vision of a better future. TIAA-Nuveen's broader mission of serving educators has historical significance, but JPC does not inherit or advance that purpose at the fund level.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Nuveen's portfolio management teams are generally stable with experienced professionals. The fund has been continuously managed since 2003, and the 2023 merger was executed smoothly [1]. However, a CEF has no employees in the traditional sense — it is managed by Nuveen's investment team, making Sinek's Circle of Safety largely inapplicable.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JPC is a passive investment vehicle that does not compete in the traditional sense. The fund competes for investor capital against other preferred CEFs (PFF, PGX, FPF) but does not articulate a competitive philosophy or learn from rivals.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JPC operates under a fixed investment mandate — at least 80% in preferred securities with leverage [2]. The fund cannot pivot its business model, enter new markets, or reinvent itself. CEFs are structurally rigid by design, and the 2023 merger was consolidation, not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Nuveen's management maintained JPC's leveraged preferred strategy through the sharp 2022-2023 rate hiking cycle that pressured preferred securities valuations, and has recently reduced leverage (D/E from ~100% to 45%) while improving the payout ratio from 97% to 87% [4]. These are prudent risk management decisions, though they also reflect structural constraints rather than bold leadership choices.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JPC offers an 11.1% distribution yield paid monthly, with the payout ratio meaningfully improved to 87.3% from ~97% previously, providing better distribution cushion [4]. The fund trades at $6.76, representing a significant ~14% discount to the June 2026 illustrative NAV of $7.85, creating potential total return upside if the discount narrows [1]. The trailing P/E of 7.51 and beta of 0.702 indicate defensive characteristics, and the fund has paid distributions continuously since its 2003 inception — 23 years [2]. Nuveen's leverage reduction (D/E from ~100% to 45%) demonstrates prudent risk management. One-year NAV return of +8.4% through June 2026 confirms the preferred securities portfolio is generating real income [1].</w:t>
      </w:r>
    </w:p>
    <w:p>
      <w:pPr>
        <w:spacing w:after="120"/>
      </w:pPr>
      <w:r>
        <w:rPr>
          <w:rFonts w:ascii="Calibri" w:hAnsi="Calibri"/>
          <w:b w:val="0"/>
          <w:color w:val="3A4A28"/>
          <w:sz w:val="20"/>
        </w:rPr>
        <w:t>The IOWN framework is poorly suited to closed-end funds, which lack operating employees, products, innovation, or strategic agency — JPC scores low on Innovation (2) and Inspiration (4) by structural design rather than management failure. The core investment risk is interest rate sensitivity: preferred securities are long-duration instruments whose values decline when rates rise, and the fund's leverage amplifies this exposure [1]. Credit quality is a concern — 78.5% of the portfolio is rated BB or lower (below investment grade), creating exposure to credit cycle deterioration. The negative 5-year dividend growth CAGR reflects the post-2023 distribution restructuring, and while the improved 87.3% payout ratio is encouraging, any sustained income decline could trigger further cuts. The 14% discount to NAV may reflect rational market pricing of leverage risk rather than a mispricing opportunity. WATCH for income-focused investors comfortable with CEF structure; the 11.1% yield is attractive if the distribution is maintained.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Stable-to-declining interest rate environment would support preferred securities valuations and NAV recovery while maintaining elevated income from existing portfolio's locked-in yields [1]</w:t>
      </w:r>
    </w:p>
    <w:p>
      <w:pPr>
        <w:spacing w:before="40" w:after="40"/>
        <w:ind w:left="283"/>
      </w:pPr>
      <w:r>
        <w:rPr>
          <w:rFonts w:ascii="Calibri" w:hAnsi="Calibri"/>
          <w:b/>
          <w:color w:val="4A6B25"/>
          <w:sz w:val="20"/>
        </w:rPr>
        <w:t xml:space="preserve">2. </w:t>
      </w:r>
      <w:r>
        <w:rPr>
          <w:rFonts w:ascii="Calibri" w:hAnsi="Calibri"/>
          <w:b w:val="0"/>
          <w:color w:val="3A4A28"/>
          <w:sz w:val="20"/>
        </w:rPr>
        <w:t>Discount narrowing from the current ~14% discount to NAV could provide significant capital appreciation alongside the 11.1% distribution yield</w:t>
      </w:r>
    </w:p>
    <w:p>
      <w:pPr>
        <w:spacing w:before="40" w:after="40"/>
        <w:ind w:left="283"/>
      </w:pPr>
      <w:r>
        <w:rPr>
          <w:rFonts w:ascii="Calibri" w:hAnsi="Calibri"/>
          <w:b/>
          <w:color w:val="4A6B25"/>
          <w:sz w:val="20"/>
        </w:rPr>
        <w:t xml:space="preserve">3. </w:t>
      </w:r>
      <w:r>
        <w:rPr>
          <w:rFonts w:ascii="Calibri" w:hAnsi="Calibri"/>
          <w:b w:val="0"/>
          <w:color w:val="3A4A28"/>
          <w:sz w:val="20"/>
        </w:rPr>
        <w:t>Continued leverage reduction and payout ratio improvement (87.3% and improving) would enhance distribution sustainability and reduce risk premium embedded in the discount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Credit quality concentration — 78.5% of the portfolio rated BB or lower exposes the fund to credit cycle deterioration, particularly in banking and financial preferred securities [1]</w:t>
      </w:r>
    </w:p>
    <w:p>
      <w:pPr>
        <w:spacing w:before="40" w:after="40"/>
        <w:ind w:left="283"/>
      </w:pPr>
      <w:r>
        <w:rPr>
          <w:rFonts w:ascii="Calibri" w:hAnsi="Calibri"/>
          <w:b/>
          <w:color w:val="4A6B25"/>
          <w:sz w:val="20"/>
        </w:rPr>
        <w:t xml:space="preserve">2. </w:t>
      </w:r>
      <w:r>
        <w:rPr>
          <w:rFonts w:ascii="Calibri" w:hAnsi="Calibri"/>
          <w:b w:val="0"/>
          <w:color w:val="3A4A28"/>
          <w:sz w:val="20"/>
        </w:rPr>
        <w:t>Interest rate spike risk: preferred securities are long-duration instruments, and the fund's leverage (though reduced to 45% D/E) amplifies NAV drawdowns when rates rise unexpectedly</w:t>
      </w:r>
    </w:p>
    <w:p>
      <w:pPr>
        <w:spacing w:before="40" w:after="40"/>
        <w:ind w:left="283"/>
      </w:pPr>
      <w:r>
        <w:rPr>
          <w:rFonts w:ascii="Calibri" w:hAnsi="Calibri"/>
          <w:b/>
          <w:color w:val="4A6B25"/>
          <w:sz w:val="20"/>
        </w:rPr>
        <w:t xml:space="preserve">3. </w:t>
      </w:r>
      <w:r>
        <w:rPr>
          <w:rFonts w:ascii="Calibri" w:hAnsi="Calibri"/>
          <w:b w:val="0"/>
          <w:color w:val="3A4A28"/>
          <w:sz w:val="20"/>
        </w:rPr>
        <w:t>Distribution sustainability: despite improved 87.3% payout ratio, the negative 5-year dividend CAGR and structural dependence on investment income mean any prolonged credit stress or rate volatility could force further distribution cuts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JPC invests in preferred securities issued primarily by banks, utilities, insurance companies, and other financial institutions — physical-world businesses whose preferred dividends are backed by tangible assets and regulated balance sheets [2]. AI cannot substitute for the underlying businesses that issue preferred securities, and the fund's income stream is contractual. However, AI-driven algorithmic trading could compress CEF premiums/discounts and reduce the informational advantage of active management. The broader asset management industry faces moderate disruption as passive and AI-managed strategies gain share. AI Opportunity (1/1): Nuveen's platform can leverage AI for credit analysis, portfolio optimization, and risk management across preferred securities holdings, generating marginal operational efficiencies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Nuveen JPC Fund Overview and Performance — NAV $7.85 (June 2026), 1-Year NAV Return +8.4%, Credit Quality Distribution; nuveen.com and CEF Connect, 2026</w:t>
      </w:r>
    </w:p>
    <w:p>
      <w:pPr>
        <w:spacing w:before="20" w:after="20"/>
        <w:ind w:left="170"/>
      </w:pPr>
      <w:r>
        <w:rPr>
          <w:rFonts w:ascii="Calibri" w:hAnsi="Calibri"/>
          <w:b/>
          <w:color w:val="4A6B25"/>
          <w:sz w:val="15"/>
        </w:rPr>
        <w:t xml:space="preserve">2. </w:t>
      </w:r>
      <w:r>
        <w:rPr>
          <w:rFonts w:ascii="Calibri" w:hAnsi="Calibri"/>
          <w:b w:val="0"/>
          <w:color w:val="3A4A28"/>
          <w:sz w:val="17"/>
        </w:rPr>
        <w:t>Nuveen Preferred &amp; Income Opportunities Fund — Investment Strategy, 80% Preferred Mandate, Fund History Since 2003; SEC N-CSRS Filing and nuveen.com</w:t>
      </w:r>
    </w:p>
    <w:p>
      <w:pPr>
        <w:spacing w:before="20" w:after="20"/>
        <w:ind w:left="170"/>
      </w:pPr>
      <w:r>
        <w:rPr>
          <w:rFonts w:ascii="Calibri" w:hAnsi="Calibri"/>
          <w:b/>
          <w:color w:val="4A6B25"/>
          <w:sz w:val="15"/>
        </w:rPr>
        <w:t xml:space="preserve">3. </w:t>
      </w:r>
      <w:r>
        <w:rPr>
          <w:rFonts w:ascii="Calibri" w:hAnsi="Calibri"/>
          <w:b w:val="0"/>
          <w:color w:val="3A4A28"/>
          <w:sz w:val="17"/>
        </w:rPr>
        <w:t>Nuveen Responsible Investing and ESG — AI ESG Risk Navigation, Responsible Investing Principles; nuveen.com and ESG Dive,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JPC Key Statistics: P/E 7.51, D/E 45.0%, ROE 9.74%, Yield 11.09%, Payout Ratio 87.3%,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