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JPM</w:t>
      </w:r>
      <w:r>
        <w:rPr>
          <w:rFonts w:ascii="Calibri" w:hAnsi="Calibri"/>
          <w:b/>
          <w:color w:val="1A2010"/>
          <w:sz w:val="40"/>
        </w:rPr>
        <w:t xml:space="preserve">  JPMorgan Chase &amp; Co.</w:t>
      </w:r>
    </w:p>
    <w:p>
      <w:pPr>
        <w:spacing w:after="120"/>
      </w:pPr>
      <w:r>
        <w:rPr>
          <w:rFonts w:ascii="Calibri" w:hAnsi="Calibri"/>
          <w:b/>
          <w:color w:val="6E8450"/>
          <w:sz w:val="18"/>
        </w:rPr>
        <w:t>GROWTH SLEEVE · 2026-10-09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NYQ · United States</w:t>
      </w:r>
    </w:p>
    <w:p>
      <w:pPr>
        <w:spacing w:after="80"/>
      </w:pPr>
      <w:r>
        <w:rPr>
          <w:rFonts w:ascii="Calibri" w:hAnsi="Calibri"/>
          <w:b w:val="0"/>
          <w:color w:val="3A4A28"/>
          <w:sz w:val="20"/>
        </w:rPr>
        <w:t>JPMorgan Chase &amp; Co. is the largest U.S. bank by assets (~$4.2T), operating across Consumer &amp; Community Banking, Commercial &amp; Investment Bank, and Asset &amp; Wealth Management. The company generates TTM revenue of $186.3B with a 34.9% profit margin and 17.8% ROE. Q2 CY2026 delivered record results with managed revenue of $58.0B (up 27% YoY) and net income of $21.2B, driven by elevated trading activity and a $4.6B gain on the bank's Visa stake. Founded in 1799 and headquartered in New York.</w:t>
      </w:r>
    </w:p>
    <w:p>
      <w:r>
        <w:rPr>
          <w:rFonts w:ascii="Calibri" w:hAnsi="Calibri"/>
          <w:b/>
          <w:color w:val="6E8450"/>
          <w:sz w:val="18"/>
        </w:rPr>
        <w:t>320,560 Employees · https://www.jpmorganchase.com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JPM executed a transformative acquisition of First Republic Bank during the 2023 regional banking crisis, adding $200B+ in deposits and high-net-worth relationships while competitors retreated [1]. The bank's digital platform grew to 70M+ active mobile users, and JPM Payments processed $10T+ in annual volume, establishing the bank as a fintech-scale payments processor within a traditional banking framework. AI Deployment (1/2): JPM employs 2,000+ AI and machine learning experts and recently elevated the chief data &amp; analytics officer to the operating committee [2]. AI is deployed across fraud detection, trading algorithms, and compliance monitoring, with CEO Dimon stating the bank has already 'displaced people from AI' and redeployed them — but no standalone AI product generates separately reported revenue. Market Share (2/2): JPM is the #1 U.S. bank by assets ($4.2T+), #1 globally in investment banking fees, and #1 in U.S. credit card loan balances; Q2 CY2026 Markets revenue of $12.1B demonstrated dominant trading share across fixed income and equities [1][3]. Product Pipeline (1/2): Chase Commerce, expanded JPM Payments capabilities, and continued wealth management digitization are in progress, but these represent incremental extensions rather than breakthrough products with specific launch dates and revenue visibility. R&amp;D Intensity (1/1): JPM's ~$17B annual technology budget represents approximately 9% of revenue, well above diversified bank peers and comparable to large-cap technology companies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JPM's stated purpose — 'Make dreams possible for everyone, everywhere, every day' — is clear and identifies beneficiaries but reads as aspirational marketing rather than a distinctive strategic compass. The bank also frames its role as 'helping communities and advancing inclusion,' which while specific to financial services, is interchangeable with several large-bank peers [3]. Community Impact (2/2): The JPMorgan Chase Foundation has committed $2B+ to community development since 2020, including $30B in racial equity lending commitments, Advancing Cities initiative funding in 40+ cities, and specific programs like Entrepreneurs of Color Fund providing $150M+ in capital to underserved small businesses [3][4]. Employee Retention (1/2): Jamie Dimon's 21-year tenure as CEO provides exceptional leadership continuity, and the senior management team has been notably stable with several direct reports serving 10+ years [2]. However, no specific voluntary turnover rates or average tenure data are publicly disclosed to distinguish JPM from banking industry norms. Insider Buying (0/2): No evidence of meaningful net insider buying by Dimon or senior executives in the last 12 months; insider transactions appear dominated by scheduled compensation-related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1.99%, below 2% threshold). JPM's financial profile is anchored by exceptional profitability and reasonable valuation. ROE of 17.8% exceeds the 15% target (score 1.0, 2x weight), while profit margin of 34.9% far surpasses the 20% target (score 1.0) [1]. Revenue growth of 30.4% YoY crushes the 10% target (score 1.0), boosted by elevated trading revenue and the $4.6B Visa stake gain. The 5-year revenue CAGR of approximately 8.9% falls just short of the 10% target (score 0.93, 2x weight), reflecting the bank's steady growth from $121.6B in 2021 to $186.3B TTM. Forward P/E of 13.2 is well below the 20 target (score 1.0), and PEG of 1.52 scores 0.74 against the 1.0 target (2x weight). D/E is not reported for banks and excluded from calculation. Daily dollar volume of $2.4B provides maximum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JPMorgan Chase under Jamie Dimon demonstrates a blend of infinite and finite game thinking. Dimon's 21-year tenure and willingness to make contrarian bets during crises — acquiring Bear Stearns in 2008 and First Republic in 2023 when competitors retreated — show genuine courage to lead. However, the bank's primary orientation remains maximizing shareholder returns through operational excellence and scale rather than advancing a transformative purpose, and its competitive language frequently centers on being 'the best' rather than building something that endures beyond any single era or leader.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JPM articulates its purpose as 'Make dreams possible for everyone, everywhere, every day,' which exists but reads as corporate marketing rather than a genuine Just Cause that shapes strategic decisions [3]. Dimon's annual shareholder letters focus primarily on competitive positioning, regulatory advocacy, and shareholder returns — the language of a finite player optimizing to win, not an infinite player advancing a vision of a better future. The bank's community commitments ($2B+ in development funding) reflect corporate responsibility rather than a cause that drives the business model.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JPM benefits from exceptional leadership stability — Dimon's 21-year tenure and a deeply tenured senior team create organizational continuity unusual in banking [2]. The 320,560-person workforce is massive, and the bank's competitive compensation and prestige support retention. However, the organization operates with the hierarchy and political complexity typical of a mega-bank, and Dimon has acknowledged displacing employees through AI automation, which creates anxiety that undermines psychological safety. No specific voluntary turnover or employee engagement data are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Dimon consistently acknowledges competitive threats from fintech disruptors and big tech, framing them as catalysts for JPM's own innovation rather than enemies to crush [2]. His shareholder letters cite the competitive pressure from companies like Stripe, Square, and Apple as driving JPM's $17B technology investment and digital transformation, demonstrating the infinite game mindset of using rivals' strengths to improve rather than merely defending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JPM has meaningfully evolved its business model over the past decade — building JPM Payments into a $10T+ processor, growing digital banking to 70M+ mobile users, and expanding into commerce and data analytics [1]. The First Republic acquisition showed willingness to dramatically expand the wealth management franchise. However, these are incremental expansions of a banking model rather than the transformative self-disruption Sinek describes — JPM has not abandoned a profitable business line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Dimon demonstrates a clear pattern of courageous, contrarian decisions: acquiring Bear Stearns during the 2008 crisis when the entire financial system was in freefall, purchasing First Republic in 2023 when regional banks were toxic, and maintaining a $17B annual technology budget through every cycle [1][2]. He publicly challenges regulators on Basel III Endgame proposals despite political risk, invests through downturns rather than cutting to protect quarterly earnings, and has built a fortress balance sheet that allows JPM to play offense when competitors are in survival mode.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JPMorgan Chase at $332 with an $882B market cap is the world's most dominant diversified bank delivering record results — Q2 CY2026 managed revenue surged 27% YoY to $58.0B with net income of $21.2B ($7.70 EPS), driven by $12.1B Markets revenue, 10% NII growth to $25.6B, and a $4.6B Visa stake gain [1]. The bank's financial profile is exceptional: 34.9% profit margin, 17.8% ROE, Forward P/E of just 13.2x, and a fortress balance sheet that enables acquisitions during crises (First Republic added $200B+ deposits in 2023). Management guides FY2026 NII of ~$103B, and the $17B annual technology budget positions JPM as the best-capitalized player in AI-enabled banking. The dividend has grown at a 12.3% 5-year CAGR with a conservative 25.7% payout ratio, leaving substantial room for continued increases [1][3].</w:t>
      </w:r>
    </w:p>
    <w:p>
      <w:pPr>
        <w:spacing w:after="120"/>
      </w:pPr>
      <w:r>
        <w:rPr>
          <w:rFonts w:ascii="Calibri" w:hAnsi="Calibri"/>
          <w:b w:val="0"/>
          <w:color w:val="3A4A28"/>
          <w:sz w:val="20"/>
        </w:rPr>
        <w:t>The bear case centers on sustainability of growth and regulatory headwinds. The headline 27% Q2 revenue growth was inflated by the one-time $4.6B Visa stake gain; excluding it, organic growth was mid-teens [1]. The 5-year revenue CAGR of ~8.9% more accurately reflects the bank's structural growth rate. Forward NII guidance of $103B assumes a constructive rate environment — aggressive Fed cuts would compress net interest margins and pressure the bank's largest revenue line. Basel III Endgame capital requirements, while moderated from initial proposals, still threaten to increase required capital buffers by 9% for the largest banks, potentially constraining buybacks and ROE [2]. JPM's trading revenue is inherently volatile and cycle-dependent, and the bank faces growing competition in payments from fintech players (Stripe, Block) and big tech (Apple Pay). At $882B market cap, JPM is priced for execution perfection — any deterioration in credit quality amid potential economic slowdown could trigger meaningful multiple compression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trading franchise with $12.1B Q2 CY2026 Markets revenue benefiting from elevated volatility and market activity, with JPM's dominant market share positioning it to capture outsized wallet share as capital markets activity normalizes higher [1]</w:t>
      </w:r>
    </w:p>
    <w:p>
      <w:pPr>
        <w:spacing w:before="40" w:after="40"/>
        <w:ind w:left="283"/>
      </w:pPr>
      <w:r>
        <w:rPr>
          <w:rFonts w:ascii="Calibri" w:hAnsi="Calibri"/>
          <w:b/>
          <w:color w:val="4A6B25"/>
          <w:sz w:val="20"/>
        </w:rPr>
        <w:t xml:space="preserve">2. </w:t>
      </w:r>
      <w:r>
        <w:rPr>
          <w:rFonts w:ascii="Calibri" w:hAnsi="Calibri"/>
          <w:b w:val="0"/>
          <w:color w:val="3A4A28"/>
          <w:sz w:val="20"/>
        </w:rPr>
        <w:t>AI-driven productivity gains across the 320,560-employee organization — $17B annual tech spend and 2,000+ AI/ML experts are automating compliance, trading, and customer service, with Dimon targeting meaningful cost efficiencies over the next 2-3 years [2]</w:t>
      </w:r>
    </w:p>
    <w:p>
      <w:pPr>
        <w:spacing w:before="40" w:after="40"/>
        <w:ind w:left="283"/>
      </w:pPr>
      <w:r>
        <w:rPr>
          <w:rFonts w:ascii="Calibri" w:hAnsi="Calibri"/>
          <w:b/>
          <w:color w:val="4A6B25"/>
          <w:sz w:val="20"/>
        </w:rPr>
        <w:t xml:space="preserve">3. </w:t>
      </w:r>
      <w:r>
        <w:rPr>
          <w:rFonts w:ascii="Calibri" w:hAnsi="Calibri"/>
          <w:b w:val="0"/>
          <w:color w:val="3A4A28"/>
          <w:sz w:val="20"/>
        </w:rPr>
        <w:t>Conservative 25.7% payout ratio with 12.3% 5-year dividend CAGR provides substantial runway for continued capital returns — the bank returned $22B+ to shareholders in 2025 through dividends and buybacks, and the fortress balance sheet enables acceleration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NII compression risk from aggressive Fed rate cuts — management's $103B FY2026 NII guidance assumes a constructive rate environment, and every 100bps decline in rates pressures the bank's largest revenue line, which represents approximately 45% of managed revenue [1]</w:t>
      </w:r>
    </w:p>
    <w:p>
      <w:pPr>
        <w:spacing w:before="40" w:after="40"/>
        <w:ind w:left="283"/>
      </w:pPr>
      <w:r>
        <w:rPr>
          <w:rFonts w:ascii="Calibri" w:hAnsi="Calibri"/>
          <w:b/>
          <w:color w:val="4A6B25"/>
          <w:sz w:val="20"/>
        </w:rPr>
        <w:t xml:space="preserve">2. </w:t>
      </w:r>
      <w:r>
        <w:rPr>
          <w:rFonts w:ascii="Calibri" w:hAnsi="Calibri"/>
          <w:b w:val="0"/>
          <w:color w:val="3A4A28"/>
          <w:sz w:val="20"/>
        </w:rPr>
        <w:t>Basel III Endgame capital requirements threaten to increase required capital buffers by ~9% for G-SIBs, potentially constraining share buyback capacity and compressing ROE from the current 17.8% by 100-200bps [2]</w:t>
      </w:r>
    </w:p>
    <w:p>
      <w:pPr>
        <w:spacing w:before="40" w:after="40"/>
        <w:ind w:left="283"/>
      </w:pPr>
      <w:r>
        <w:rPr>
          <w:rFonts w:ascii="Calibri" w:hAnsi="Calibri"/>
          <w:b/>
          <w:color w:val="4A6B25"/>
          <w:sz w:val="20"/>
        </w:rPr>
        <w:t xml:space="preserve">3. </w:t>
      </w:r>
      <w:r>
        <w:rPr>
          <w:rFonts w:ascii="Calibri" w:hAnsi="Calibri"/>
          <w:b w:val="0"/>
          <w:color w:val="3A4A28"/>
          <w:sz w:val="20"/>
        </w:rPr>
        <w:t>Credit quality deterioration in a potential economic slowdown — consumer credit card delinquencies have been normalizing higher since 2023, and the commercial real estate portfolio carries concentrated exposure to office properties facing secular vacancy headwinds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JPM's core business is PROTECTED by deep regulatory moats (banking licenses, capital requirements, compliance frameworks), massive switching costs for corporate and institutional clients, and relationship-driven advisory services that AI cannot easily replicate [2]. Commercial lending, wealth management, and investment banking advisory require human judgment, fiduciary accountability, and regulated processes that structurally limit AI substitution. Consumer banking faces some automation risk in branch operations and call centers, but the shift to digital has already been absorbed. Dimon himself warns that AI will 'definitely eliminate some jobs' but frames it as an efficiency enabler that strengthens JPM's competitive position rather than a substitution threat [2]. The bank's scale — 2,000+ AI/ML experts, $17B tech budget — positions it to out-invest fintech disruptors. AI Opportunity (1/1): JPM generates measurable value from AI deployment across trading algorithms (contributing to $12.1B Markets revenue in Q2 CY2026), fraud detection systems processing billions of transactions, and compliance monitoring, though AI revenue is not separately reported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JPMorgan Chase Q2 CY2026 Earnings — $58.0B Managed Revenue (+27% YoY), $21.2B Net Income, $7.70 EPS, $12.1B Markets Revenue — Barchart/StockStory, Sentisense, July 2026</w:t>
      </w:r>
    </w:p>
    <w:p>
      <w:pPr>
        <w:spacing w:before="20" w:after="20"/>
        <w:ind w:left="170"/>
      </w:pPr>
      <w:r>
        <w:rPr>
          <w:rFonts w:ascii="Calibri" w:hAnsi="Calibri"/>
          <w:b/>
          <w:color w:val="4A6B25"/>
          <w:sz w:val="15"/>
        </w:rPr>
        <w:t xml:space="preserve">2. </w:t>
      </w:r>
      <w:r>
        <w:rPr>
          <w:rFonts w:ascii="Calibri" w:hAnsi="Calibri"/>
          <w:b w:val="0"/>
          <w:color w:val="3A4A28"/>
          <w:sz w:val="17"/>
        </w:rPr>
        <w:t>Jamie Dimon 2025-2026 Shareholder Letters and AI Commentary — 2,000+ AI/ML experts, $17B tech budget, AI displacement/redeployment, Basel III Endgame advocacy — Yahoo Finance, Fortune, HCAMag, 2025-2026</w:t>
      </w:r>
    </w:p>
    <w:p>
      <w:pPr>
        <w:spacing w:before="20" w:after="20"/>
        <w:ind w:left="170"/>
      </w:pPr>
      <w:r>
        <w:rPr>
          <w:rFonts w:ascii="Calibri" w:hAnsi="Calibri"/>
          <w:b/>
          <w:color w:val="4A6B25"/>
          <w:sz w:val="15"/>
        </w:rPr>
        <w:t xml:space="preserve">3. </w:t>
      </w:r>
      <w:r>
        <w:rPr>
          <w:rFonts w:ascii="Calibri" w:hAnsi="Calibri"/>
          <w:b w:val="0"/>
          <w:color w:val="3A4A28"/>
          <w:sz w:val="17"/>
        </w:rPr>
        <w:t>JPMorgan Chase Q1 CY2026 Earnings and FY2026 Guidance — $103B NII target, $105B expense guidance — Hudson Labs, OpenCapital, January 2026</w:t>
      </w:r>
    </w:p>
    <w:p>
      <w:pPr>
        <w:spacing w:before="20" w:after="20"/>
        <w:ind w:left="170"/>
      </w:pPr>
      <w:r>
        <w:rPr>
          <w:rFonts w:ascii="Calibri" w:hAnsi="Calibri"/>
          <w:b/>
          <w:color w:val="4A6B25"/>
          <w:sz w:val="15"/>
        </w:rPr>
        <w:t xml:space="preserve">4. </w:t>
      </w:r>
      <w:r>
        <w:rPr>
          <w:rFonts w:ascii="Calibri" w:hAnsi="Calibri"/>
          <w:b w:val="0"/>
          <w:color w:val="3A4A28"/>
          <w:sz w:val="17"/>
        </w:rPr>
        <w:t>JPMorgan Chase ESG Profile — Fossil fuel financing criticism, $2B+ community development commitments, Sustainalytics ESG risk score 29.3 — Diligent, In These Times,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