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KGC</w:t>
      </w:r>
      <w:r>
        <w:rPr>
          <w:rFonts w:ascii="Calibri" w:hAnsi="Calibri"/>
          <w:b/>
          <w:color w:val="1A2010"/>
          <w:sz w:val="40"/>
        </w:rPr>
        <w:t xml:space="preserve">  Kinross Gold Corporation</w:t>
      </w:r>
    </w:p>
    <w:p>
      <w:pPr>
        <w:spacing w:after="120"/>
      </w:pPr>
      <w:r>
        <w:rPr>
          <w:rFonts w:ascii="Calibri" w:hAnsi="Calibri"/>
          <w:b/>
          <w:color w:val="6E8450"/>
          <w:sz w:val="18"/>
        </w:rPr>
        <w:t>GROWTH SLEEVE · 2026-10-09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NYQ · Canada</w:t>
      </w:r>
    </w:p>
    <w:p>
      <w:pPr>
        <w:spacing w:after="80"/>
      </w:pPr>
      <w:r>
        <w:rPr>
          <w:rFonts w:ascii="Calibri" w:hAnsi="Calibri"/>
          <w:b w:val="0"/>
          <w:color w:val="3A4A28"/>
          <w:sz w:val="20"/>
        </w:rPr>
        <w:t>Kinross Gold Corporation is a senior gold mining company operating mines across the Americas, West Africa, and Alaska. The company produces approximately 2.0 million gold-equivalent ounces annually with an all-in sustaining cost of ~$1,730/oz, generating TTM revenue of $8.47B with a 37.5% profit margin and 37.0% ROE, driven by record gold prices averaging $4,483/oz realized in Q2 CY2026. Q2 CY2026 revenue grew 29.5% YoY to $2.24B with adjusted EPS of $0.71 (up 61.4% YoY). Founded in 1993 and headquartered in Toronto, Canada.</w:t>
      </w:r>
    </w:p>
    <w:p>
      <w:r>
        <w:rPr>
          <w:rFonts w:ascii="Calibri" w:hAnsi="Calibri"/>
          <w:b/>
          <w:color w:val="6E8450"/>
          <w:sz w:val="18"/>
        </w:rPr>
        <w:t>9,000 Employees · https://www.kinross.com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Kinross executed a strategically sound $1.8B acquisition of Great Bear Resources in 2022 (a major Ontario gold development project) and successfully brought the Manh Choh mine in Alaska into production, but these represent incremental extensions of the gold mining business model rather than transformative pivots [1]. The 2022 divestiture of Russian operations (formerly ~25% of production) was a necessary response to sanctions risk, not a proactive reinvention. AI Deployment (0/2): Management disclosed in the FY2025 annual filing that it 'advanced the AI strategy by building internal capabilities and starting several opportunities,' but provided no specifics on products, applications, or measurable results [2]. AI usage is limited to operational exploration with no customer-facing AI products. Market Share (1/2): Kinross is a meaningful mid-tier gold producer with 2.0M oz annual production, ranking behind Newmont (~6M oz) and Barrick (~4M oz) but maintaining profitable operations across multiple jurisdictions [1][3]. The company is a relevant player but not a category leader or fastest share gainer. Product Pipeline (1/2): The Great Bear project in Ontario represents a significant pipeline asset with multi-million-ounce potential, though it remains in development with production several years away [1]. Other brownfield expansions (Tasiast, Paracatu) extend mine lives but are not next-generation breakthroughs. R&amp;D Intensity (0/1): Gold mining companies typically invest minimally in R&amp;D relative to revenue, and Kinross discloses no above-average technology or exploration spending compared to gold mining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Kinross articulates four core values — Putting People First, Outstanding Corporate Citizenship, High Performance Culture, and Rigorous Financial Discipline — which are clear and connect to a purpose beyond profit but are largely interchangeable with any responsible mining company [2]. The values identify how Kinross operates but do not articulate a distinctive vision of a better future or why the company exists beyond mining gold. Community Impact (1/2): Kinross established an ESG executive committee reporting to the board, increased ESG metrics weighting in executive compensation to 25%, obtained external assurance on World Gold Council Responsible Gold Mining Principles, and partnered with Trout Unlimited on abandoned mine restoration in Alaska [3][4]. These are credible commitments but represent standard industry practice rather than distinctive community investment. Employee Retention (1/2): CEO J. Paul Rollinson's 14-year tenure (since 2012) provides exceptional leadership continuity for a mid-tier miner, and the 'Putting People First' value signals organizational commitment to employees [2]. However, no specific voluntary turnover rates, average tenure data, or employee survey results are publicly available. Insider Buying (0/2): No evidence of meaningful net insider buying by Rollinson or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yield 0.69%, below 2% threshold). Kinross's financial profile is exceptional in the current gold price environment, scoring at or near maximum on every metric [1]. D/E of just 7.7% is negligible against the 70% target (score 1.0), reflecting a near-debt-free balance sheet. ROE of 37.0% far exceeds the 15% target (score 1.0, 2x weight), and profit margin of 37.5% surpasses the 20% target (score 1.0), both driven by record gold prices ($4,483/oz realized in Q2 CY2026 vs. AISC of $1,730/oz). Revenue growth of 29.5% YoY (score 1.0) and estimated 5-year CAGR of ~18% (score 1.0, 2x weight) are strong, though primarily price-driven as production volume declined 4% YoY. Forward P/E of 8.6 and PEG of 1.12 are both well below their respective targets (scores 1.0 and 0.94). Daily dollar volume of $189.5M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Kinross Gold operates primarily as a finite game player focused on optimizing gold production and financial returns within a single-commodity business model. While CEO Rollinson's 14-year tenure provides stability and the company demonstrated principled decision-making in divesting Russian operations in 2022, the fundamental business lacks a Just Cause beyond extracting and selling gold profitably. The company has not reinvented itself or shown existential flexibility — it remains a mid-tier gold miner executing the same business model it has pursued for three decades, with financial performance entirely dependent on a commodity price it does not control.</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Kinross's core values — Putting People First, Outstanding Corporate Citizenship, High Performance Culture, Rigorous Financial Discipline — describe how the company operates but not why it exists beyond mining gold profitably [2]. The company's reason for being is to extract and sell a commodity, and its strategic decisions are driven by gold prices, ore grades, and jurisdictional risk rather than by a vision of a better future. No Just Cause shapes strategic direction or differentiates Kinross from any other responsible gold miner.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Rollinson's 14-year tenure and the 'Putting People First' core value signal organizational stability and employee focus [2]. The company increased ESG weighting in executive compensation to 25%, reflecting some alignment between leadership incentives and broader stakeholder interests [3]. However, mining operations inherently involve safety-intensive, hierarchical work environments, and no specific voluntary turnover, engagement survey, or average tenure data are available to distinguish Kinross from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Kinross frames competition through the lens of self-improvement. The company's competitive positioning focuses on operational metrics (cost per ounce, production volume, reserve replacement) relative to peers like Newmont and Barrick, which is standard industry benchmarking rather than the infinite game mindset of learning from rivals' strengths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Kinross has been a gold mining company for its entire 30+ year history and shows no evidence of strategic flexibility beyond operational adjustments within that single-commodity model [1][2]. The 2022 Russia divestiture was a response to external sanctions risk, not a proactive reinvention. The company has not diversified into other metals, mining services, or adjacent businesses — it is, and has always been, a pure-play gold miner entirely dependent on a commodity price it does not control.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Kinross demonstrated principled courage in divesting its Russian operations in 2022 — walking away from approximately 25% of production capacity — in response to Russia's invasion of Ukraine, even though the mines were profitable and the sanctions framework did not strictly require divestiture [2]. The company also invested $1.8B in the Great Bear acquisition during a period of gold price uncertainty. However, beyond these decisions, the company's capital allocation follows conventional mining industry patterns of developing existing ore bodies and returning capital through buybacks.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Kinross Gold at $23.83 with a $28.3B market cap is a mid-tier gold producer delivering exceptional financial results in the current record gold price environment — Q2 CY2026 revenue grew 29.5% YoY to $2.24B with adjusted EPS of $0.71 (up 61.4%) on a realized gold price of $4,483/oz, while the balance sheet carries minimal debt at just 7.7% D/E [1]. The financial profile is among the strongest in the gold mining universe: 37.0% ROE, 37.5% profit margin, Forward P/E of just 8.6x, and PEG of 1.12. FY2026 guidance targets 2.0M gold-equivalent ounces at AISC of $1,730/oz (+/- 5%), implying $2,750+/oz margins at current spot prices. The Great Bear project in Ontario adds significant long-term production optionality, and the near-debt-free balance sheet provides downside protection [1][3].</w:t>
      </w:r>
    </w:p>
    <w:p>
      <w:pPr>
        <w:spacing w:after="120"/>
      </w:pPr>
      <w:r>
        <w:rPr>
          <w:rFonts w:ascii="Calibri" w:hAnsi="Calibri"/>
          <w:b w:val="0"/>
          <w:color w:val="3A4A28"/>
          <w:sz w:val="20"/>
        </w:rPr>
        <w:t>The bear case is straightforward: Kinross's financial performance is almost entirely a function of the gold price, which it does not control. Gold at $4,483/oz in Q2 CY2026 is up 36.5% from a year ago — but Q2 production actually declined 4% YoY to 492,326 ounces, meaning the revenue growth is price-driven, not operational [1]. Any meaningful correction in gold prices from record levels would compress margins, earnings, and the stock price proportionally — a return to $2,500/oz gold would cut margins by roughly 60% and likely push the stock well below $15. The company is a single-commodity producer with no diversification and limited control over its revenue trajectory. AISC guidance of $1,730/oz is subject to inflationary cost pressures from energy, labor, and consumables that have historically compressed margins in prior gold cycles [1][3]. The dividend (0.69% yield, $0.16/share) is minimal and has not grown consistently — annual payouts fluctuated between $0.06 and $0.16 over the past six years, reflecting the cyclicality of the business rather than a commitment to income investors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gold prices sustaining $2,750+/oz margins — realized price of $4,483/oz in Q2 CY2026 represents a 36.5% YoY increase, and central bank buying, geopolitical uncertainty, and de-dollarization trends support continued elevated pricing [1]</w:t>
      </w:r>
    </w:p>
    <w:p>
      <w:pPr>
        <w:spacing w:before="40" w:after="40"/>
        <w:ind w:left="283"/>
      </w:pPr>
      <w:r>
        <w:rPr>
          <w:rFonts w:ascii="Calibri" w:hAnsi="Calibri"/>
          <w:b/>
          <w:color w:val="4A6B25"/>
          <w:sz w:val="20"/>
        </w:rPr>
        <w:t xml:space="preserve">2. </w:t>
      </w:r>
      <w:r>
        <w:rPr>
          <w:rFonts w:ascii="Calibri" w:hAnsi="Calibri"/>
          <w:b w:val="0"/>
          <w:color w:val="3A4A28"/>
          <w:sz w:val="20"/>
        </w:rPr>
        <w:t>Great Bear project development — the $1.8B Ontario acquisition represents a multi-million-ounce development asset that could meaningfully increase production beyond the current 2.0M oz/year run rate over the next 3-5 years [1]</w:t>
      </w:r>
    </w:p>
    <w:p>
      <w:pPr>
        <w:spacing w:before="40" w:after="40"/>
        <w:ind w:left="283"/>
      </w:pPr>
      <w:r>
        <w:rPr>
          <w:rFonts w:ascii="Calibri" w:hAnsi="Calibri"/>
          <w:b/>
          <w:color w:val="4A6B25"/>
          <w:sz w:val="20"/>
        </w:rPr>
        <w:t xml:space="preserve">3. </w:t>
      </w:r>
      <w:r>
        <w:rPr>
          <w:rFonts w:ascii="Calibri" w:hAnsi="Calibri"/>
          <w:b w:val="0"/>
          <w:color w:val="3A4A28"/>
          <w:sz w:val="20"/>
        </w:rPr>
        <w:t>Near-debt-free balance sheet (7.7% D/E) provides exceptional downside protection and financial flexibility to fund growth projects, increase dividends, or pursue accretive M&amp;A through any gold price cycle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dependence — nearly 100% of revenue comes from gold sales, and Q2 CY2026 production declined 4% YoY while revenue grew 29.5%, demonstrating that financial performance is driven by commodity price rather than operational improvement [1]</w:t>
      </w:r>
    </w:p>
    <w:p>
      <w:pPr>
        <w:spacing w:before="40" w:after="40"/>
        <w:ind w:left="283"/>
      </w:pPr>
      <w:r>
        <w:rPr>
          <w:rFonts w:ascii="Calibri" w:hAnsi="Calibri"/>
          <w:b/>
          <w:color w:val="4A6B25"/>
          <w:sz w:val="20"/>
        </w:rPr>
        <w:t xml:space="preserve">2. </w:t>
      </w:r>
      <w:r>
        <w:rPr>
          <w:rFonts w:ascii="Calibri" w:hAnsi="Calibri"/>
          <w:b w:val="0"/>
          <w:color w:val="3A4A28"/>
          <w:sz w:val="20"/>
        </w:rPr>
        <w:t>Cost inflation risk — AISC of $1,730/oz is subject to energy, labor, and consumable cost pressures that have historically compressed margins in prior cycles, and the +/- 5% guidance range implies $87/oz of cost uncertainty [1][3]</w:t>
      </w:r>
    </w:p>
    <w:p>
      <w:pPr>
        <w:spacing w:before="40" w:after="40"/>
        <w:ind w:left="283"/>
      </w:pPr>
      <w:r>
        <w:rPr>
          <w:rFonts w:ascii="Calibri" w:hAnsi="Calibri"/>
          <w:b/>
          <w:color w:val="4A6B25"/>
          <w:sz w:val="20"/>
        </w:rPr>
        <w:t xml:space="preserve">3. </w:t>
      </w:r>
      <w:r>
        <w:rPr>
          <w:rFonts w:ascii="Calibri" w:hAnsi="Calibri"/>
          <w:b w:val="0"/>
          <w:color w:val="3A4A28"/>
          <w:sz w:val="20"/>
        </w:rPr>
        <w:t>Jurisdictional and operational risk — Kinross operates in geopolitically complex regions (West Africa, Brazil, Chile) where permitting, regulatory changes, and community relations can disrupt production, as demonstrated by the forced Russian exit in 2022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Gold mining is IMMUNE to AI disruption — the core business involves extracting physical gold from underground and open-pit mines through heavy equipment, geological expertise, and complex processing operations that AI structurally cannot substitute [2][3]. The demand for gold as a store of value, central bank reserve asset, and jewelry/industrial material is independent of AI adoption. AI may increase demand for gold through economic uncertainty and as a hedge against technology-driven disruption in other sectors. The company's competitive advantages — ore body quality, jurisdictional access, operating expertise, and permitting relationships — are physical-world moats that AI cannot replicate. AI Opportunity (0/1): Kinross disclosed early-stage internal AI initiatives in FY2025 but provided no quantified revenue, cost savings, or specific applications, and no AI-related products or services generate identifiable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Kinross Gold Q2 CY2026 Earnings — $2.24B Revenue (+29.5% YoY), Adjusted EPS $0.71 (+61.4%), 492,326 oz production, $4,483/oz realized price — Zacks, Benzinga, Nasdaq, July 2026</w:t>
      </w:r>
    </w:p>
    <w:p>
      <w:pPr>
        <w:spacing w:before="20" w:after="20"/>
        <w:ind w:left="170"/>
      </w:pPr>
      <w:r>
        <w:rPr>
          <w:rFonts w:ascii="Calibri" w:hAnsi="Calibri"/>
          <w:b/>
          <w:color w:val="4A6B25"/>
          <w:sz w:val="15"/>
        </w:rPr>
        <w:t xml:space="preserve">2. </w:t>
      </w:r>
      <w:r>
        <w:rPr>
          <w:rFonts w:ascii="Calibri" w:hAnsi="Calibri"/>
          <w:b w:val="0"/>
          <w:color w:val="3A4A28"/>
          <w:sz w:val="17"/>
        </w:rPr>
        <w:t>Kinross Gold Leadership and Culture — CEO J. Paul Rollinson (since 2012), four core values, early-stage AI strategy, 2022 Russia divestiture — SEC 6-K filings, Mining Technology, 2022-2026</w:t>
      </w:r>
    </w:p>
    <w:p>
      <w:pPr>
        <w:spacing w:before="20" w:after="20"/>
        <w:ind w:left="170"/>
      </w:pPr>
      <w:r>
        <w:rPr>
          <w:rFonts w:ascii="Calibri" w:hAnsi="Calibri"/>
          <w:b/>
          <w:color w:val="4A6B25"/>
          <w:sz w:val="15"/>
        </w:rPr>
        <w:t xml:space="preserve">3. </w:t>
      </w:r>
      <w:r>
        <w:rPr>
          <w:rFonts w:ascii="Calibri" w:hAnsi="Calibri"/>
          <w:b w:val="0"/>
          <w:color w:val="3A4A28"/>
          <w:sz w:val="17"/>
        </w:rPr>
        <w:t>Kinross Gold FY2026 Guidance — 2.0M Au eq. oz (+/- 5%), AISC $1,730/oz (+/- 5%), Great Bear development — Nasdaq, OpenCapital, February 2026</w:t>
      </w:r>
    </w:p>
    <w:p>
      <w:pPr>
        <w:spacing w:before="20" w:after="20"/>
        <w:ind w:left="170"/>
      </w:pPr>
      <w:r>
        <w:rPr>
          <w:rFonts w:ascii="Calibri" w:hAnsi="Calibri"/>
          <w:b/>
          <w:color w:val="4A6B25"/>
          <w:sz w:val="15"/>
        </w:rPr>
        <w:t xml:space="preserve">4. </w:t>
      </w:r>
      <w:r>
        <w:rPr>
          <w:rFonts w:ascii="Calibri" w:hAnsi="Calibri"/>
          <w:b w:val="0"/>
          <w:color w:val="3A4A28"/>
          <w:sz w:val="17"/>
        </w:rPr>
        <w:t>Kinross Gold ESG Profile — ESG executive committee, 25% ESG comp weighting, World Gold Council RGMPs, Alaska environmental stewardship — TipRanks, Mugglehead, SEC 6-K, 2022-2024</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