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KHC</w:t>
      </w:r>
      <w:r>
        <w:rPr>
          <w:rFonts w:ascii="Calibri" w:hAnsi="Calibri"/>
          <w:b/>
          <w:color w:val="1A2010"/>
          <w:sz w:val="40"/>
        </w:rPr>
        <w:t xml:space="preserve">  The Kraft Heinz Company</w:t>
      </w:r>
    </w:p>
    <w:p>
      <w:pPr>
        <w:spacing w:after="120"/>
      </w:pPr>
      <w:r>
        <w:rPr>
          <w:rFonts w:ascii="Calibri" w:hAnsi="Calibri"/>
          <w:b/>
          <w:color w:val="6E8450"/>
          <w:sz w:val="18"/>
        </w:rPr>
        <w:t>DIVIDEND SLEEVE · 2026-10-04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Packaged Foods · NASDAQ · United States</w:t>
      </w:r>
    </w:p>
    <w:p>
      <w:pPr>
        <w:spacing w:after="80"/>
      </w:pPr>
      <w:r>
        <w:rPr>
          <w:rFonts w:ascii="Calibri" w:hAnsi="Calibri"/>
          <w:b w:val="0"/>
          <w:color w:val="3A4A28"/>
          <w:sz w:val="20"/>
        </w:rPr>
        <w:t>The Kraft Heinz Company is the third-largest food and beverage company in North America and the fifth-largest in the world, with iconic brands including Heinz, Kraft, Oscar Mayer, Philadelphia, Lunchables, Velveeta, Planters, Jell-O, and Maxwell House. Formed from the 2015 merger of Kraft Foods Group and H.J. Heinz Company, backed by 3G Capital and Berkshire Hathaway. Q2 2026 revenue of $6.26B beat consensus with adjusted EPS of $0.56 vs. $0.53 estimate. Full-year 2026 organic sales guided to -0.5% to -2.0%, adjusted EPS $2.03-$2.09. CEO Carlos Abrams-Rivera leading turnaround with $600M+ AI/technology investment. Market cap ~$26B.</w:t>
      </w:r>
    </w:p>
    <w:p>
      <w:r>
        <w:rPr>
          <w:rFonts w:ascii="Calibri" w:hAnsi="Calibri"/>
          <w:b/>
          <w:color w:val="6E8450"/>
          <w:sz w:val="18"/>
        </w:rPr>
        <w:t>35,000 Employees · https://www.kraftheinzcompany.com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Under CEO Carlos Abrams-Rivera (since 2024), Kraft Heinz is pivoting toward innovation-led growth after years of 3G Capital cost-cutting, but organic net sales continue declining with Q2 2026 organic sales at -0.5% to -2.0% guided for the full year [1]. Emerging Markets grew 10.4% organically on broad-based price and volume gains, providing a growth offset to North America's pressure. The NotCo partnership for AI-driven plant-based product development represents a modest new capability. AI Deployment (1/2): AI cuts product development time by 50%, creative design timelines by 8x, and a self-driving supply chain boosts production efficiency by 12% [2]. $600M technology investment program focused on advanced analytics, automation, and unified digital core. KraftGPT internal generative AI tool deployed across the organization. These are quantified internal benefits but not externally monetized. Market Share (1/2): Kraft Heinz holds leadership positions in multiple categories — Heinz dominates ketchup globally, Philadelphia leads cream cheese, Kraft leads mac &amp; cheese — but is losing share in several legacy categories as consumers shift to fresher and less-processed alternatives [1]. Product Pipeline (0/2): General innovation pipeline including reformulations and emerging market expansion, but no specific next-generation products with named launch dates and revenue visibility. R&amp;D Intensity (1/1): $600M+ technology and innovation investment on ~$25B revenue represents ~2.4% intensity, above average for packaged food peers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Kraft Heinz's purpose of 'Let's Make Life Delicious' is clear and connects the company's work to consumer enjoyment, but it does not articulate a deeper social purpose or describe a future state that does not yet exist [2]. The 'Community of Owners' culture under current leadership encourages entrepreneurial thinking, which is distinctive among CPG peers. Community Impact (1/2): Kraft Heinz reports 83%+ of global packaging meeting recyclable, reusable, or compostable standards toward a 100% goal [3]. The company publishes annual ESG reports covering Healthy Living, Environmental Stewardship, and Responsible Sourcing. Net zero by 2040 commitment and significant supply chain sustainability efforts. However, no specific philanthropic dollar amounts or distinctive community investment programs beyond standard CPG commitments were identified. Employee Retention (0/2): No specific employee retention data identified. Three CEO transitions since 2019 (Hees, Patricio, Abrams-Rivera) suggest organizational instability at the top. Insider Buying (0/2): No evidence of meaningful net insider buying by CEO Abrams-Rivera or executive team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Conservative D/E of 52.6% is well below the 70% target, scoring 1.0 [4]. However, trailing GAAP ROE of -8.8% scores at the floor due to goodwill impairment charges from the overvalued 2015 merger [4]. Revenue declined 1.4% YoY, and estimated 5yr revenue CAGR of ~-1.5% reflects persistent secular pressure on legacy packaged food brands [1]. Forward P/E of 10.6 is attractive — well below the 20 target — reflecting deep value pricing [4]. GAAP profit margin of -13.6% scores at the floor, driven by non-cash impairment charges rather than operational failure — Q2 adjusted EPS of $0.56 beat consensus [1]. Dividend profile is mixed: 11 consecutive years of payments (2× weight, 1.0) anchor the score, but the 73% payout ratio exceeds the 40% target and 5yr dividend growth CAGR is 0% since the 2019 cut from $2.50 to $1.60, with zero consecutive years of growth [4]. The dividend has been frozen at $1.60 annually for seven consecutive years. Liquidity passes: ~16.7M shares × $22.19 = ~$371M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Kraft Heinz bears the legacy of 3G Capital's aggressively finite approach — extreme cost-cutting that hollowed out brands, followed by $15B+ in goodwill impairments that validated the short-termism. Three CEO transitions since 2019 signal organizational instability. Current leadership under Abrams-Rivera is investing $600M+ to rebuild brands and capabilities, showing some courage, but the Just Cause remains underdeveloped and the organizational trauma of the 3G era takes years to heal. Sinek would view KHC as a cautionary tale of finite game thinking — optimizing for quarterly earnings until the brands themselves eroded.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'Let's Make Life Delicious' is a marketing tagline rather than a Just Cause in the Sinek sense — it does not describe a future state that does not yet exist, is not so bold that it can never be fully achieved, and does not invite others to sacrifice in its pursuit [2]. The 3G Capital era explicitly optimized for cost reduction and earnings, the antithesis of a Just Cause. Current leadership is shifting toward innovation-led growth, but the purpose remains commercially oriented rather than transformative.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3G Capital era was defined by aggressive headcount reduction, zero-based budgeting, and performance pressure that industry observers widely characterized as creating a fear-based culture [3]. Three CEO transitions since 2019 create instability at the top that cascades through the organization. The 'Community of Owners' culture is a stated aspiration under current leadership, but the organizational trauma of the 3G era — including $15B+ in impairment charges signaling strategic failure — takes years to heal. No specific employee retention data or cultural indicators suggesting high trust were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Kraft Heinz's competitive language focuses on market share battles and cost leadership rather than learning from competitors' strengths. No evidence of management publicly acknowledging rivals' advantages or framing competition as self-improvement motivation. The company's relationship with competitors like Nestle, Unilever, and General Mills is framed in terms of category share, not worthy rivalry.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Kraft Heinz is attempting to transform from a cost-cutting-driven food conglomerate to an innovation-led portfolio company, with $600M+ in technology investment, AI-driven product development, and emerging markets growing 10.4% organically [1][2]. The NotCo partnership for AI-powered plant-based products represents adaptation to shifting consumer preferences. However, the core business model — manufacturing and distributing branded packaged foods — remains fundamentally unchanged, and the transformation is driven by necessity rather than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Abrams-Rivera is investing $600M+ in technology and brand reinvestment despite declining organic sales, explicitly framing 2026 as an investment year with margin compression to rebuild depleted capabilities [1][2]. The full-year guidance raise despite organic sales decline shows willingness to prioritize long-term brand health over short-term optics. However, this investment is corrective — rebuilding what the prior 3G regime stripped out — rather than a forward-looking strategic bet on new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Kraft Heinz reported Q2 2026 revenue of $6.26B, beating the $6.12B consensus, with adjusted EPS of $0.56 vs. $0.53 expected — extending the streak to five consecutive quarters of consensus EPS beats [1]. Full-year organic sales guidance was narrowed to -0.5% to -2.0% (from -1.5% to -3.5%), signaling stabilization, and adjusted EPS guidance was raised to $2.03-$2.09. Emerging Markets grew 10.4% organically, providing a growth offset to North America pressure. At 10.6x forward earnings, KHC trades at a significant discount to the CPG sector average of ~20x, offering deep value if the brand reinvestment program succeeds. The 7.21% dividend yield with conservative D/E of 53% and $600M+ AI/technology investment provide a floor [4]. The balance sheet remains stable with impairment charges being non-cash items masking adjusted profitability.</w:t>
      </w:r>
    </w:p>
    <w:p>
      <w:pPr>
        <w:spacing w:after="120"/>
      </w:pPr>
      <w:r>
        <w:rPr>
          <w:rFonts w:ascii="Calibri" w:hAnsi="Calibri"/>
          <w:b w:val="0"/>
          <w:color w:val="3A4A28"/>
          <w:sz w:val="20"/>
        </w:rPr>
        <w:t>The bear case is substantial: organic net sales have declined for multiple consecutive quarters, driven by a fundamental consumer shift away from legacy processed food brands toward fresher, healthier, and private-label alternatives [1]. The dividend has been frozen at $1.60 annually for seven consecutive years since the 2019 cut from $2.50, offering 0% growth that erodes real income value every year despite the 7.21% current yield [4]. GAAP earnings remain deeply negative (-13.6% profit margin, -8.8% ROE) due to ongoing goodwill impairment charges reflecting the destruction of value from the overpriced 2015 merger. Three CEO transitions since 2019 suggest the turnaround strategy lacks continuity. The 73% adjusted payout ratio leaves minimal cushion if earnings deteriorate further. Competition from private-label products exceeding 20% share in many KHC categories is structural and accelerating. North America remains under pressure with pricing tailwinds of 1.3% offset by a 2.6% volume/mix drag. Inspire Impact Score of -67 (MISALIGNED) with both Abortion and LGBT Activism attributions creates significant faith-alignment concerns for values-based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Emerging markets segment growing 10.4% organically on broad-based price and volume gains, with further expansion potential as KHC extends Heinz brand distribution into underpenetrated markets across Asia, Africa, and Latin America [1]</w:t>
      </w:r>
    </w:p>
    <w:p>
      <w:pPr>
        <w:spacing w:before="40" w:after="40"/>
        <w:ind w:left="283"/>
      </w:pPr>
      <w:r>
        <w:rPr>
          <w:rFonts w:ascii="Calibri" w:hAnsi="Calibri"/>
          <w:b/>
          <w:color w:val="4A6B25"/>
          <w:sz w:val="20"/>
        </w:rPr>
        <w:t xml:space="preserve">2. </w:t>
      </w:r>
      <w:r>
        <w:rPr>
          <w:rFonts w:ascii="Calibri" w:hAnsi="Calibri"/>
          <w:b w:val="0"/>
          <w:color w:val="3A4A28"/>
          <w:sz w:val="20"/>
        </w:rPr>
        <w:t>AI-driven operational transformation — product development time cut 50%, supply chain efficiency up 12%, $600M+ technology investment enabling data-driven category optimization through KraftGPT and the Data Elevation strategy [2]</w:t>
      </w:r>
    </w:p>
    <w:p>
      <w:pPr>
        <w:spacing w:before="40" w:after="40"/>
        <w:ind w:left="283"/>
      </w:pPr>
      <w:r>
        <w:rPr>
          <w:rFonts w:ascii="Calibri" w:hAnsi="Calibri"/>
          <w:b/>
          <w:color w:val="4A6B25"/>
          <w:sz w:val="20"/>
        </w:rPr>
        <w:t xml:space="preserve">3. </w:t>
      </w:r>
      <w:r>
        <w:rPr>
          <w:rFonts w:ascii="Calibri" w:hAnsi="Calibri"/>
          <w:b w:val="0"/>
          <w:color w:val="3A4A28"/>
          <w:sz w:val="20"/>
        </w:rPr>
        <w:t>Deep value pricing at 10.6x forward earnings vs. ~20x CPG peer average, with five consecutive quarters of EPS beats suggesting the turnaround under Abrams-Rivera is gaining traction despite top-line headwinds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decline in North American legacy packaged food categories as consumers shift to fresher, healthier, and private-label alternatives, with organic sales declining and pricing power offset by persistent volume/mix drag of -2.6% in Q2 2026 [1]</w:t>
      </w:r>
    </w:p>
    <w:p>
      <w:pPr>
        <w:spacing w:before="40" w:after="40"/>
        <w:ind w:left="283"/>
      </w:pPr>
      <w:r>
        <w:rPr>
          <w:rFonts w:ascii="Calibri" w:hAnsi="Calibri"/>
          <w:b/>
          <w:color w:val="4A6B25"/>
          <w:sz w:val="20"/>
        </w:rPr>
        <w:t xml:space="preserve">2. </w:t>
      </w:r>
      <w:r>
        <w:rPr>
          <w:rFonts w:ascii="Calibri" w:hAnsi="Calibri"/>
          <w:b w:val="0"/>
          <w:color w:val="3A4A28"/>
          <w:sz w:val="20"/>
        </w:rPr>
        <w:t>Dividend sustainability risk with 0% growth for seven consecutive years, 73% adjusted payout ratio, 7.21% yield signaling market-priced risk, and GAAP losses — any further earnings deterioration could force a second dividend cut [4]</w:t>
      </w:r>
    </w:p>
    <w:p>
      <w:pPr>
        <w:spacing w:before="40" w:after="40"/>
        <w:ind w:left="283"/>
      </w:pPr>
      <w:r>
        <w:rPr>
          <w:rFonts w:ascii="Calibri" w:hAnsi="Calibri"/>
          <w:b/>
          <w:color w:val="4A6B25"/>
          <w:sz w:val="20"/>
        </w:rPr>
        <w:t xml:space="preserve">3. </w:t>
      </w:r>
      <w:r>
        <w:rPr>
          <w:rFonts w:ascii="Calibri" w:hAnsi="Calibri"/>
          <w:b w:val="0"/>
          <w:color w:val="3A4A28"/>
          <w:sz w:val="20"/>
        </w:rPr>
        <w:t>CEO succession instability with three leadership transitions since 2019 undermining strategic continuity and the organizational trust required to execute multi-year brand reinvestment programs in a challenging consumer environment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Kraft Heinz's core business — manufacturing, distributing, and marketing physical food products — is structurally immune to AI substitution [1]. AI cannot make ketchup, distribute condiments, or replicate century-old brand equity. The company's value chain involves physical-world operations (food processing plants, cold chain logistics, retail distribution) that AI cannot displace. Consumer preference for trusted food brands provides an additional moat. However, AI-powered marketing tools could partially democratize brand-building, enabling private-label and DTC competitors to compete more effectively for shelf space and digital attention [2]. AI-optimized supply chains at retailers could shift negotiating power away from branded manufacturers. These are marginal threats, not existential ones, but sufficient to keep the score below IMMUNE. AI Opportunity (0/1): Kraft Heinz uses AI extensively internally — cutting product development time by 50%, self-driving supply chain boosting efficiency 12%, KraftGPT deployed across the organization, and $600M+ in technology investment [2]. However, these are cost optimization and efficiency tools, not products or services generating AI revenue externally.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Kraft Heinz Q2 2026 Earnings Release — Revenue $6.26B (Beat), Adjusted EPS $0.56 (Beat), Organic Sales Narrowed to -0.5% to -2.0%, Adjusted EPS Guided to $2.03-$2.09, Emerging Markets +10.4%, Q2 2026 pricing +1.3% offset by -2.6% volume/mix, July 2026</w:t>
      </w:r>
    </w:p>
    <w:p>
      <w:pPr>
        <w:spacing w:before="20" w:after="20"/>
        <w:ind w:left="170"/>
      </w:pPr>
      <w:r>
        <w:rPr>
          <w:rFonts w:ascii="Calibri" w:hAnsi="Calibri"/>
          <w:b/>
          <w:color w:val="4A6B25"/>
          <w:sz w:val="15"/>
        </w:rPr>
        <w:t xml:space="preserve">2. </w:t>
      </w:r>
      <w:r>
        <w:rPr>
          <w:rFonts w:ascii="Calibri" w:hAnsi="Calibri"/>
          <w:b w:val="0"/>
          <w:color w:val="3A4A28"/>
          <w:sz w:val="17"/>
        </w:rPr>
        <w:t>Kraft Heinz AI Innovation and Digital Transformation — $600M+ Tech Investment, AI Cuts Product Development 50%, Creative Design 8x Faster, Self-Driving Supply Chain +12% Efficiency, KraftGPT — ChiefAIOfficer.com, InfotechLead, CIODive, 2025-2026</w:t>
      </w:r>
    </w:p>
    <w:p>
      <w:pPr>
        <w:spacing w:before="20" w:after="20"/>
        <w:ind w:left="170"/>
      </w:pPr>
      <w:r>
        <w:rPr>
          <w:rFonts w:ascii="Calibri" w:hAnsi="Calibri"/>
          <w:b/>
          <w:color w:val="4A6B25"/>
          <w:sz w:val="15"/>
        </w:rPr>
        <w:t xml:space="preserve">3. </w:t>
      </w:r>
      <w:r>
        <w:rPr>
          <w:rFonts w:ascii="Calibri" w:hAnsi="Calibri"/>
          <w:b w:val="0"/>
          <w:color w:val="3A4A28"/>
          <w:sz w:val="17"/>
        </w:rPr>
        <w:t>Kraft Heinz ESG Report, Anti-ESG Risk, Packaging Sustainability (83%+ Recyclable), 3G Capital Culture Legacy — Bloomberg Law, InsideClimateNews, ESGNews, KraftHeinzCompany.com, 2021-2026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StockAnalysis.com — KHC Key Statistics: Forward P/E 10.63, PEG 0.99, D/E 52.59%, ROE -8.76%, Profit Margin -13.64%, Dividend Yield 7.21%, Payout 73.06%, Stock Price $22.19,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