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KIM</w:t>
      </w:r>
      <w:r>
        <w:rPr>
          <w:rFonts w:ascii="Calibri" w:hAnsi="Calibri"/>
          <w:b/>
          <w:color w:val="1A2010"/>
          <w:sz w:val="40"/>
        </w:rPr>
        <w:t xml:space="preserve">  Kimco Realty Corporation</w:t>
      </w:r>
    </w:p>
    <w:p>
      <w:pPr>
        <w:spacing w:after="120"/>
      </w:pPr>
      <w:r>
        <w:rPr>
          <w:rFonts w:ascii="Calibri" w:hAnsi="Calibri"/>
          <w:b/>
          <w:color w:val="6E8450"/>
          <w:sz w:val="18"/>
        </w:rPr>
        <w:t>DIVIDEND SLEEVE · 2026-10-19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Retail · NYSE · United States</w:t>
      </w:r>
    </w:p>
    <w:p>
      <w:pPr>
        <w:spacing w:after="80"/>
      </w:pPr>
      <w:r>
        <w:rPr>
          <w:rFonts w:ascii="Calibri" w:hAnsi="Calibri"/>
          <w:b w:val="0"/>
          <w:color w:val="3A4A28"/>
          <w:sz w:val="20"/>
        </w:rPr>
        <w:t>Kimco Realty is a real estate investment trust and S&amp;P 500 member specializing in the ownership and operation of high-quality, open-air, grocery-anchored shopping centers and mixed-use properties in first-ring suburbs of major U.S. metropolitan markets. The company owns interests in 564 properties comprising 100 million square feet of gross leasable space. Founded in 1958 and publicly traded since 1991, Kimco generates TTM revenue of approximately $2.2B with a 27.8% profit margin and 68.9% gross margin. Q2 2026 revenue reached $550.8M (up 4.9% YoY) with raised full-year guidance.</w:t>
      </w:r>
    </w:p>
    <w:p>
      <w:r>
        <w:rPr>
          <w:rFonts w:ascii="Calibri" w:hAnsi="Calibri"/>
          <w:b/>
          <w:color w:val="6E8450"/>
          <w:sz w:val="18"/>
        </w:rPr>
        <w:t>710 Employees · https://www.kimcorealty.com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Kimco completed the $12B RPT Realty merger in 2024, significantly expanding its portfolio and geographic footprint in high-barrier-to-entry Sunbelt and coastal markets [1]. This was a meaningful strategic transaction that enhanced scale, but M&amp;A-driven growth is typical for the REIT sector rather than truly innovative. AI Deployment (0/2): Kimco created an Office of Innovation and Transformation under Chief Innovation Officer Will Teichman and invested in Bonside, an AI-powered underwriting startup for retail landlords, but no AI products are shipping to generate measurable revenue or cost savings [2]. A third-party tracker rated Kimco's AI maturity at 1.6/5, well below the sector average of 3.0. Market Share (1/2): Kimco is one of the largest open-air, grocery-anchored shopping center REITs in the U.S., with 564 properties and S&amp;P 500 membership, representing a meaningful player in a fragmented market [1]. Product Pipeline (0/2): Mixed-use redevelopments and densification projects represent the pipeline, but these are standard REIT value-creation activities rather than next-generation products with specific timelines. R&amp;D Intensity (0/1): REITs do not engage in traditional R&amp;D; Kimco's innovation spending is through technology investments and operational improvements, which are below what larger REITs invest in proptech.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Kimco's stated purpose centers on being a 'leading owner and operator of high-quality, open-air, grocery-anchored shopping centers' — a functional description of what the company does rather than an articulation of why it exists beyond making money [2]. The mission is interchangeable with any retail REIT and does not inspire beyond basic business operations. Community Impact (1/2): Kimco has received GRESB Green Star recognition for six consecutive years, inclusion in the Dow Jones Sustainability Index, and designation as a Best Place to Work for LGBTQ+ Equality [3]. The company has set Paris-aligned emissions reduction targets. However, no specific dollar amounts for community investment or distinctive charitable programs were identified. Employee Retention (1/2): Founder Milton Cooper's extraordinary 60+ year tenure culminating in his 2025 retirement as Executive Chairman, and CEO Conor Flynn's leadership since 2016, demonstrate exceptional leadership continuity [2]. With only 710 employees for 564 properties, the lean workforce suggests high productivity, though no specific retention metrics are available. Insider Buying (0/2): No evidence of meaningful net insider buying by CEO Flynn or other executives was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KIM's D/E of 85.0% is above the 70% target but manageable for a REIT (score 0.93), and profit margin of 27.8% exceeds the 20% target (score 1.0) [1]. Revenue growth of 4.9% YoY is moderate (score 0.83), while the 3-year CAGR of approximately 7.3% approaches the 10% target (score 0.82). Forward P/E of 25.5 is above the 20 target (score 0.86), and ROE of 5.8% is below the 15% target (score 0.39), typical for REITs given high asset bases and depreciation. GAAP payout ratio of 121% exceeds the 100% floor (score 0.0, 1x weight), though this is standard for REITs where dividends are paid from FFO rather than GAAP earnings. Consecutive years paid of approximately 30+ (since 1992) hits the target (score 1.0, 2x weight), and 5-year dividend growth CAGR of 7.7% exceeds the 6% target (score 1.0, 2x weight). Consecutive years of dividend growth of approximately 3 years (post-COVID restoration) scores below target (score 0.3, 1x weight). Daily dollar volume of $112.6M provides strong institutional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Kimco is a well-managed REIT with exceptional leadership longevity — founder Milton Cooper served for 60+ years and CEO Conor Flynn has led since 2016 — but the company's purpose is fundamentally about real estate asset management rather than an enduring Just Cause in Sinek's framework. The RPT Realty merger demonstrated strategic ambition, and the grocery-anchored positioning shows long-term thinking about tenant resilience, but the company's competitive language focuses on growth metrics and market positioning rather than self-improvement, and the organizational culture is difficult to assess for a 710-person REIT.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Kimco exists to own and operate shopping centers profitably — a valid business model but not a Just Cause in Sinek's framework [1][2]. The company's 65+ year history and founder Milton Cooper's 60-year tenure demonstrate remarkable commitment to a specific business, but the commitment is to the business itself rather than to a vision of a better future that transcends real estate ownership. The grocery-anchored, necessity-based positioning shows thoughtful strategy but not an idealistic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Milton Cooper's extraordinary 60-year tenure and CEO Flynn's decade-plus of leadership demonstrate exceptional organizational stability and leadership continuity [2]. The deliberate board leadership transition from Cooper to Richard Saltzman as Independent Chairman signals institutional maturity. However, with only 710 employees and no publicly available culture data, it is impossible to assess whether the broader organization operates with high trust and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Kimco's competitive language focuses on portfolio quality, occupancy rates, and same-property NOI growth metrics rather than acknowledging the strengths of rivals like Federal Realty, Regency Centers, or Brixmor Property Group [1]. No evidence was found of management commentary that frames competition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Kimco has evolved meaningfully over 65+ years — from a simple strip-center REIT to a focused operator of grocery-anchored, open-air shopping centers in high-barrier-to-entry first-ring suburbs, incorporating mixed-use densification and e-commerce-resistant tenant strategies [1]. The RPT Realty merger in 2024 demonstrated willingness to make bold strategic moves. However, these represent incremental evolution of a consistent real estate business rather than a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$12B RPT Realty merger required significant capital allocation courage, and management raised the dividend 12% in 2026 while lifting same-property NOI guidance to 3.0-3.5%, signaling confidence in the growth trajectory [1]. The strategic decision to concentrate exclusively in grocery-anchored, open-air centers — exiting enclosed malls — demonstrated long-term conviction that proved prescient during e-commerce disruption and the pandemic.</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Kimco Realty at $22.91 with a $15.4B market cap is a high-quality income vehicle offering a 4.9% dividend yield backed by 564 grocery-anchored shopping centers in first-ring suburbs of the top U.S. metros. Q2 2026 revenue of $550.8M beat consensus (up 4.9% YoY), management raised full-year EPS guidance to $1.83-$1.84 and same-property NOI guidance to 3.0-3.5%, and the dividend was increased 12% to $0.28 per share quarterly [1]. The grocery-anchored, open-air format provides structural resilience against e-commerce disruption and pandemic risk, with necessity-based tenants driving consistent foot traffic. The 5-year dividend growth CAGR of 7.7% exceeds inflation by a wide margin, and the 100M sq ft portfolio in high-barrier-to-entry coastal and Sunbelt markets creates replacement-cost advantages.</w:t>
      </w:r>
    </w:p>
    <w:p>
      <w:pPr>
        <w:spacing w:after="120"/>
      </w:pPr>
      <w:r>
        <w:rPr>
          <w:rFonts w:ascii="Calibri" w:hAnsi="Calibri"/>
          <w:b w:val="0"/>
          <w:color w:val="3A4A28"/>
          <w:sz w:val="20"/>
        </w:rPr>
        <w:t>The bear case centers on REIT-specific financial metrics and limited growth potential. ROE of 5.8% is structurally low for REITs due to high asset bases and depreciation, and GAAP payout ratio of 121% exceeds earnings (though FFO-based payout is more sustainable at approximately 65%) [1]. Forward P/E of 25.5x is elevated for a business growing revenue at only 4.9% YoY, and the 3-year revenue CAGR of 7.3% partly reflects the RPT Realty merger rather than organic growth. D/E of 85% reflects standard REIT leverage but leaves the company sensitive to interest rate movements, and the EPS decline of -5.8% in Q2 suggests margin pressure despite top-line growth. Innovation scores are structurally low for REITs — the AI maturity rating of 1.6/5 trails the sector average, and the company generates no technology revenue. Long-term secular risk exists from demographic shifts toward online grocery delivery and suburban retail evolution, which could gradually erode the grocery-anchored value proposition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12% dividend increase to $0.28 per share quarterly with raised same-property NOI guidance of 3.0-3.5% signals management confidence in sustainable earnings growth and positions KIM as a premier income vehicle with 4.9% yield [1]</w:t>
      </w:r>
    </w:p>
    <w:p>
      <w:pPr>
        <w:spacing w:before="40" w:after="40"/>
        <w:ind w:left="283"/>
      </w:pPr>
      <w:r>
        <w:rPr>
          <w:rFonts w:ascii="Calibri" w:hAnsi="Calibri"/>
          <w:b/>
          <w:color w:val="4A6B25"/>
          <w:sz w:val="20"/>
        </w:rPr>
        <w:t xml:space="preserve">2. </w:t>
      </w:r>
      <w:r>
        <w:rPr>
          <w:rFonts w:ascii="Calibri" w:hAnsi="Calibri"/>
          <w:b w:val="0"/>
          <w:color w:val="3A4A28"/>
          <w:sz w:val="20"/>
        </w:rPr>
        <w:t>RPT Realty integration provides approximately $40M in cost synergies and portfolio optimization opportunities, with densification and mixed-use redevelopment creating incremental NOI from existing properties [1]</w:t>
      </w:r>
    </w:p>
    <w:p>
      <w:pPr>
        <w:spacing w:before="40" w:after="40"/>
        <w:ind w:left="283"/>
      </w:pPr>
      <w:r>
        <w:rPr>
          <w:rFonts w:ascii="Calibri" w:hAnsi="Calibri"/>
          <w:b/>
          <w:color w:val="4A6B25"/>
          <w:sz w:val="20"/>
        </w:rPr>
        <w:t xml:space="preserve">3. </w:t>
      </w:r>
      <w:r>
        <w:rPr>
          <w:rFonts w:ascii="Calibri" w:hAnsi="Calibri"/>
          <w:b w:val="0"/>
          <w:color w:val="3A4A28"/>
          <w:sz w:val="20"/>
        </w:rPr>
        <w:t>Grocery-anchored, open-air format in first-ring suburban locations benefits from structural shift in retail leasing as tenants prioritize necessity-based, high-traffic locations resistant to e-commerce displacement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Interest rate sensitivity — D/E of 85% and $8.9B in total debt expose Kimco to refinancing risk if rates remain elevated, potentially compressing the spread between cap rates and borrowing costs that drives REIT economics [1]</w:t>
      </w:r>
    </w:p>
    <w:p>
      <w:pPr>
        <w:spacing w:before="40" w:after="40"/>
        <w:ind w:left="283"/>
      </w:pPr>
      <w:r>
        <w:rPr>
          <w:rFonts w:ascii="Calibri" w:hAnsi="Calibri"/>
          <w:b/>
          <w:color w:val="4A6B25"/>
          <w:sz w:val="20"/>
        </w:rPr>
        <w:t xml:space="preserve">2. </w:t>
      </w:r>
      <w:r>
        <w:rPr>
          <w:rFonts w:ascii="Calibri" w:hAnsi="Calibri"/>
          <w:b w:val="0"/>
          <w:color w:val="3A4A28"/>
          <w:sz w:val="20"/>
        </w:rPr>
        <w:t>Revenue growth of 4.9% YoY with EPS declining -5.8% indicates margin pressure from operating cost inflation, and forward P/E of 25.5x leaves minimal valuation upside if growth decelerates from the post-merger baseline [1]</w:t>
      </w:r>
    </w:p>
    <w:p>
      <w:pPr>
        <w:spacing w:before="40" w:after="40"/>
        <w:ind w:left="283"/>
      </w:pPr>
      <w:r>
        <w:rPr>
          <w:rFonts w:ascii="Calibri" w:hAnsi="Calibri"/>
          <w:b/>
          <w:color w:val="4A6B25"/>
          <w:sz w:val="20"/>
        </w:rPr>
        <w:t xml:space="preserve">3. </w:t>
      </w:r>
      <w:r>
        <w:rPr>
          <w:rFonts w:ascii="Calibri" w:hAnsi="Calibri"/>
          <w:b w:val="0"/>
          <w:color w:val="3A4A28"/>
          <w:sz w:val="20"/>
        </w:rPr>
        <w:t>Secular risk from expanding grocery delivery services (Instacart, Amazon Fresh, Walmart+) could gradually reduce the foot traffic advantage that anchors the grocery-driven shopping center model and differentiates KIM from enclosed mall REITs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Kimco's core business — owning and operating physical shopping center real estate — is structurally immune to AI substitution [1][2]. Open-air, grocery-anchored shopping centers serve necessity-based retail (grocery, pharmacy, restaurants, services) that requires physical presence and cannot be delivered digitally. AI cannot replace the 100 million square feet of physical retail space in first-ring suburbs of major metros, and the grocery-anchored tenant mix is specifically designed to be resistant to e-commerce disruption. AI could potentially optimize tenant selection, lease negotiation, and property management, but these are operational efficiencies that benefit rather than threaten the business model. The only modest risk is if AI-powered logistics enable even more delivery-based retail, reducing foot traffic to physical centers. AI Opportunity (0/1): Kimco does not generate meaningful revenue from AI-related products or services; the Bonside investment is a venture-stage position, and the Office of Innovation has not produced quantifiable AI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Kimco Realty Q2 2026 Earnings — $550.8M Revenue (+4.9% YoY), Raised FY2026 EPS Guidance to $1.83-$1.84, 12% Dividend Increase, Same-Property NOI Guidance 3.0-3.5% — MarketBeat, Benzinga, SureDividend, August 2026</w:t>
      </w:r>
    </w:p>
    <w:p>
      <w:pPr>
        <w:spacing w:before="20" w:after="20"/>
        <w:ind w:left="170"/>
      </w:pPr>
      <w:r>
        <w:rPr>
          <w:rFonts w:ascii="Calibri" w:hAnsi="Calibri"/>
          <w:b/>
          <w:color w:val="4A6B25"/>
          <w:sz w:val="15"/>
        </w:rPr>
        <w:t xml:space="preserve">2. </w:t>
      </w:r>
      <w:r>
        <w:rPr>
          <w:rFonts w:ascii="Calibri" w:hAnsi="Calibri"/>
          <w:b w:val="0"/>
          <w:color w:val="3A4A28"/>
          <w:sz w:val="17"/>
        </w:rPr>
        <w:t>Kimco Realty Leadership and AI — CEO Conor Flynn, Milton Cooper 60-Year Retirement, Office of Innovation (Will Teichman), Bonside AI Investment, AI Maturity 1.6/5 — InsiderMonkey, TipRanks, Larridin, 2025-2026</w:t>
      </w:r>
    </w:p>
    <w:p>
      <w:pPr>
        <w:spacing w:before="20" w:after="20"/>
        <w:ind w:left="170"/>
      </w:pPr>
      <w:r>
        <w:rPr>
          <w:rFonts w:ascii="Calibri" w:hAnsi="Calibri"/>
          <w:b/>
          <w:color w:val="4A6B25"/>
          <w:sz w:val="15"/>
        </w:rPr>
        <w:t xml:space="preserve">3. </w:t>
      </w:r>
      <w:r>
        <w:rPr>
          <w:rFonts w:ascii="Calibri" w:hAnsi="Calibri"/>
          <w:b w:val="0"/>
          <w:color w:val="3A4A28"/>
          <w:sz w:val="17"/>
        </w:rPr>
        <w:t>Kimco Realty ESG — GRESB Green Star (6 Years), Dow Jones Sustainability Index, Paris-Aligned Emissions Targets, Best Place to Work LGBTQ+ Equality — Sustainalytics, KimcoRealty.com, ESGToday, 2019-2026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