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KLC</w:t>
      </w:r>
      <w:r>
        <w:rPr>
          <w:rFonts w:ascii="Calibri" w:hAnsi="Calibri"/>
          <w:b/>
          <w:color w:val="1A2010"/>
          <w:sz w:val="40"/>
        </w:rPr>
        <w:t xml:space="preserve">  KinderCare Learning Companies, Inc.</w:t>
      </w:r>
    </w:p>
    <w:p>
      <w:pPr>
        <w:spacing w:after="120"/>
      </w:pPr>
      <w:r>
        <w:rPr>
          <w:rFonts w:ascii="Calibri" w:hAnsi="Calibri"/>
          <w:b/>
          <w:color w:val="6E8450"/>
          <w:sz w:val="18"/>
        </w:rPr>
        <w:t>GROWTH SLEEVE · 2026-09-27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Education &amp; Training Services · NYSE · United States</w:t>
      </w:r>
    </w:p>
    <w:p>
      <w:pPr>
        <w:spacing w:after="80"/>
      </w:pPr>
      <w:r>
        <w:rPr>
          <w:rFonts w:ascii="Calibri" w:hAnsi="Calibri"/>
          <w:b w:val="0"/>
          <w:color w:val="3A4A28"/>
          <w:sz w:val="20"/>
        </w:rPr>
        <w:t>KinderCare Learning Companies is the largest private provider of early childhood education and care in the United States, operating over 2,400 learning centers and sites nationwide serving infants through school-age children. The company IPO'd in 2024 at $24/share and is majority-owned by Partners Group. CEO Tom Wyatt returned in December 2025 after 12 years of prior tenure. FY2025 revenue was $2.73B with adjusted EBITDA of $300M. FY2026 guidance projects revenue of $2.70-2.75B and adjusted EBITDA of $210-230M, a 25-30% decline. The stock has fallen 91% from its IPO price to $2.12.</w:t>
      </w:r>
    </w:p>
    <w:p>
      <w:r>
        <w:rPr>
          <w:rFonts w:ascii="Calibri" w:hAnsi="Calibri"/>
          <w:b/>
          <w:color w:val="6E8450"/>
          <w:sz w:val="18"/>
        </w:rPr>
        <w:t>35,700 Employees · https://www.kindercare.com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KinderCare operates a traditional center-based childcare model that has not materially changed over the past five years. The 2024 IPO was a financial event (private equity exit), not a product or model innovation [1]. No transformative launches, pivots, or business model transformations have been identified. AI Deployment (0/2): No AI-powered products or services shipping, and no quantified internal AI-driven cost savings reported. Childcare is inherently a human-intensive service with limited AI applicability in core delivery. Market Share (1/2): KinderCare is the nation's largest private childcare provider with 2,400+ centers, representing meaningful leadership in a highly fragmented market [2]. However, the company is not gaining share — Q1 2026 revenue grew only 0.6% and occupancy recovery remains slow. Product Pipeline (0/2): No next-generation products, services, or curriculum innovations with specific timelines and revenue visibility have been publicly announced. R&amp;D Intensity (0/1): Childcare companies do not allocate measurable R&amp;D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KinderCare's mission centers on preparing children for school and life through quality early childhood education, built on four foundational pillars: Educational Excellence, People &amp; Culture, Health &amp; Safety, and Growth &amp; Operations [2]. This connects to a genuine societal need — affordable, quality childcare is critical for working families — but is not distinctively transformative compared to other early education providers. Community Impact (0/2): No specific charitable programs, foundation giving, or community investment with quantified dollar amounts were identified beyond the core educational mission itself. Employee Retention (2/2): KinderCare has won the Gallup Great Workplace Award every year since 2017 — nine consecutive years of recognized employee engagement excellence across a 35,700-person workforce [2]. CEO Wyatt's prior 12-year tenure drove 'record-high levels of employee and customer engagement,' with a dedicated Chief People Officer (Jessica Harrah) overseeing talent and culture. Insider Buying (2/2): CEO Tom Wyatt purchased 494,118 shares at approximately $2.02/share (~$1.0M personal investment) in March 2026, shortly after returning as CEO [3]. Director Michael Nuzzo bought 25,000 shares at $2.22 ($55,500). No insider sells were reported. The CEO investing $1M of personal capital at the stock's historic lows is a strong conviction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KinderCare's financial profile reflects a company burdened by private equity-era leverage. D/E of 539% far exceeds the 300% floor, scoring 0 on this metric [4]. ROE of -67.8% (GAAP net loss including goodwill impairment charges) and profit margin of -17.2% both score 0. Revenue growth of -0.4% in Q1 2026 is below the 10% target but well above the -20% floor. The bright spot is forward P/E of 9.87x on projected FY2026 EPS of $0.10-0.20, reflecting deeply discounted valuation [1]. PEG ratio and 5yr revenue CAGR are unavailable (IPO'd in 2024). Free cash flow of $41.3M demonstrates the underlying business generates cash despite the balance sheet distress. The stock clears the liquidity floor at ~$1.7M daily trading volume but only marginally.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KinderCare's early childhood education mission inherently connects to a meaningful cause, but the company's execution tells a finite-game story. Private equity ownership (Partners Group controlling stake), an IPO at $24 that collapsed 91% to $2.12, a $273.5M goodwill impairment, safety controversies documented by short sellers and congressional investigators, and leadership instability (CEO change in December 2025) all point to a company managed for financial extraction rather than enduring purpose. Tom Wyatt's return and $1M personal investment offer a potential reset, but the finite-game damage runs deep.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Early childhood education is inherently purposeful — preparing children for school and life is a cause that resonates beyond profit. However, KinderCare's actions undermine the articulated purpose: safety failures including regulatory citations, a congressional investigation questioning whether the company prioritizes profits over quality under private equity ownership, and investor lawsuits alleging misrepresentation of quality standards [3]. When the gap between stated purpose and actual behavior is this wide, the cause reads as marketing rather than genuine organizational commitment.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Gallup Great Workplace Award every year since 2017 is genuine evidence of employee engagement at the corporate level [2]. CEO Wyatt's prior track record of 'record-high employee engagement' and a dedicated Chief People Officer suggest organizational investment in culture. However, safety controversies at individual centers — regulatory citations for inadequate supervision and unsafe conditions — suggest a disconnect between corporate culture and frontline operations across 2,400+ locations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KinderCare acknowledging competitors' strengths or using competitive pressure for self-improvement. The childcare industry is highly fragmented with limited direct public competitors, making competitive benchmarking less visible. Communications focus on operational metrics and financial recovery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KinderCare has operated the same center-based childcare model without transformative strategic pivots. The 2024 IPO was a financial event (private equity exit), not a strategic reinvention. No evidence of the company making dramatic shifts to its business model or abandoning legacy approaches in service of its educational mission. The company is rigid in its operational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Tom Wyatt's return in December 2025 and subsequent personal purchase of 494,118 shares (~$1M) at the stock's historic lows demonstrates personal conviction and financial alignment with shareholders [3]. Bringing back a proven leader to stabilize the company during existential crisis shows deliberate long-term thinking. However, the leadership instability that necessitated Wyatt's return — and the safety and governance failures that preceded it — reflect organizational weaknesses rather than courageous strategic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KinderCare at $2.12 (0.09x revenue, 9.87x forward earnings) prices in existential distress for the nation's largest private childcare provider with 2,400+ centers and $2.73B in TTM revenue [1]. CEO Tom Wyatt's return after 12 years of prior leadership — backed by ~$1M personal stock purchase at $2.02 — signals genuine conviction in a turnaround [3]. The Gallup Great Workplace Award (won every year since 2017) demonstrates strong organizational culture at the corporate level, and childcare is structurally immune to AI disruption (9/10) with increasing societal demand as more parents enter the workforce [2]. FY2026 guidance of $2.70-2.75B in revenue and $210-230M in adjusted EBITDA shows the underlying business generates cash ($41.3M free cash flow) despite the balance sheet distress. If Wyatt can restore occupancy, resolve safety controversies, and stabilize profitability, the stock is deeply mispriced relative to revenue.</w:t>
      </w:r>
    </w:p>
    <w:p>
      <w:pPr>
        <w:spacing w:after="120"/>
      </w:pPr>
      <w:r>
        <w:rPr>
          <w:rFonts w:ascii="Calibri" w:hAnsi="Calibri"/>
          <w:b w:val="0"/>
          <w:color w:val="3A4A28"/>
          <w:sz w:val="20"/>
        </w:rPr>
        <w:t>The bear case is existential and has intensified since the last screen. D/E of 539% with massive debt against a now-$251M market cap creates a capital structure where even modest operational deterioration could trigger covenant violations or restructuring [4]. The stock has fallen 91% from its $24 IPO price and 60% since August 2026 alone, signaling accelerating investor capitulation. The $273.5M goodwill impairment in Q1 2026 acknowledged the business is worth less than its carrying value. FY2026 adjusted EBITDA guidance of $210-230M represents a 25-30% decline from FY2025's $300M, indicating operational deterioration beyond one-time charges [1]. Safety controversies — documented by short sellers, state regulators, and a congressional investigation — threaten the brand that is the company's primary asset [3]. Revenue growth of -0.4% in Q1 2026 in a childcare market with pricing power suggests occupancy and enrollment headwinds the company has not solved despite market leadership. The Altman Z-Score near 0.9 indicates elevated bankruptcy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CEO Tom Wyatt's prior 12-year track record of driving occupancy and engagement recovery could restore operational execution and rebuild investor confidence from deeply distressed levels — his $1M personal stock purchase at $2.02 aligns his interests with shareholders [2][3]</w:t>
      </w:r>
    </w:p>
    <w:p>
      <w:pPr>
        <w:spacing w:before="40" w:after="40"/>
        <w:ind w:left="283"/>
      </w:pPr>
      <w:r>
        <w:rPr>
          <w:rFonts w:ascii="Calibri" w:hAnsi="Calibri"/>
          <w:b/>
          <w:color w:val="4A6B25"/>
          <w:sz w:val="20"/>
        </w:rPr>
        <w:t xml:space="preserve">2. </w:t>
      </w:r>
      <w:r>
        <w:rPr>
          <w:rFonts w:ascii="Calibri" w:hAnsi="Calibri"/>
          <w:b w:val="0"/>
          <w:color w:val="3A4A28"/>
          <w:sz w:val="20"/>
        </w:rPr>
        <w:t>Federal and state investments in early childhood education creating subsidy-driven demand tailwinds — KinderCare has publicly supported state-level childcare funding increases that directly benefit enrollment and affordability [2]</w:t>
      </w:r>
    </w:p>
    <w:p>
      <w:pPr>
        <w:spacing w:before="40" w:after="40"/>
        <w:ind w:left="283"/>
      </w:pPr>
      <w:r>
        <w:rPr>
          <w:rFonts w:ascii="Calibri" w:hAnsi="Calibri"/>
          <w:b/>
          <w:color w:val="4A6B25"/>
          <w:sz w:val="20"/>
        </w:rPr>
        <w:t xml:space="preserve">3. </w:t>
      </w:r>
      <w:r>
        <w:rPr>
          <w:rFonts w:ascii="Calibri" w:hAnsi="Calibri"/>
          <w:b w:val="0"/>
          <w:color w:val="3A4A28"/>
          <w:sz w:val="20"/>
        </w:rPr>
        <w:t>Resolution of safety controversies and short seller allegations would remove a significant overhang — if investigations close without material findings, the brand damage could prove recoverable and unlock re-rating from 0.09x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leverage: $2.5B+ in debt against $251M market cap and $41M in free cash flow creates a capital structure where even modest operational deterioration could trigger covenant violations, restructuring, or equity dilution [4]</w:t>
      </w:r>
    </w:p>
    <w:p>
      <w:pPr>
        <w:spacing w:before="40" w:after="40"/>
        <w:ind w:left="283"/>
      </w:pPr>
      <w:r>
        <w:rPr>
          <w:rFonts w:ascii="Calibri" w:hAnsi="Calibri"/>
          <w:b/>
          <w:color w:val="4A6B25"/>
          <w:sz w:val="20"/>
        </w:rPr>
        <w:t xml:space="preserve">2. </w:t>
      </w:r>
      <w:r>
        <w:rPr>
          <w:rFonts w:ascii="Calibri" w:hAnsi="Calibri"/>
          <w:b w:val="0"/>
          <w:color w:val="3A4A28"/>
          <w:sz w:val="20"/>
        </w:rPr>
        <w:t>Safety controversies are potential indicators of systemic quality failures across 2,400+ centers — congressional investigation, investor lawsuits, and regulatory citations threaten core licensing and brand that is the company's primary asset [3]</w:t>
      </w:r>
    </w:p>
    <w:p>
      <w:pPr>
        <w:spacing w:before="40" w:after="40"/>
        <w:ind w:left="283"/>
      </w:pPr>
      <w:r>
        <w:rPr>
          <w:rFonts w:ascii="Calibri" w:hAnsi="Calibri"/>
          <w:b/>
          <w:color w:val="4A6B25"/>
          <w:sz w:val="20"/>
        </w:rPr>
        <w:t xml:space="preserve">3. </w:t>
      </w:r>
      <w:r>
        <w:rPr>
          <w:rFonts w:ascii="Calibri" w:hAnsi="Calibri"/>
          <w:b w:val="0"/>
          <w:color w:val="3A4A28"/>
          <w:sz w:val="20"/>
        </w:rPr>
        <w:t>Private equity ownership (Partners Group) incentivizes cash extraction over long-term investment in center quality, staffing, and curriculum — the misalignment between financial sponsors and educational mission is the company's deepest structural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Childcare and early childhood education is among the most AI-immune businesses in existence. The service requires physical human presence with young children — feeding, comforting, teaching, supervising, and nurturing infants, toddlers, and preschoolers [2]. State licensing regulations mandate specific adult-to-child ratios with trained, certified caregivers that AI cannot replace. No analyst has ever flagged AI as a displacement risk for childcare providers. AI-driven productivity gains in other sectors may actually increase demand for childcare as more parents enter or remain in the workforce. AI Opportunity (0/1): KinderCare generates no revenue from AI products or services. The childcare industry has minimal AI revenue opportunity — the service is inherently human-delivered and locally operated.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KinderCare FY2025 Q4 Results and FY2026 Q1 Earnings — Revenue $2.73B (FY2025), Q1 Revenue $672.5M (+0.6%), FY2026 Guidance $2.70-2.75B revenue, Adj EBITDA $210-230M, EPS $0.10-$0.20 — BusinessWire, Investing.com, SEC Form 8-K, 2026</w:t>
      </w:r>
    </w:p>
    <w:p>
      <w:pPr>
        <w:spacing w:before="20" w:after="20"/>
        <w:ind w:left="170"/>
      </w:pPr>
      <w:r>
        <w:rPr>
          <w:rFonts w:ascii="Calibri" w:hAnsi="Calibri"/>
          <w:b/>
          <w:color w:val="4A6B25"/>
          <w:sz w:val="15"/>
        </w:rPr>
        <w:t xml:space="preserve">2. </w:t>
      </w:r>
      <w:r>
        <w:rPr>
          <w:rFonts w:ascii="Calibri" w:hAnsi="Calibri"/>
          <w:b w:val="0"/>
          <w:color w:val="3A4A28"/>
          <w:sz w:val="17"/>
        </w:rPr>
        <w:t>KinderCare Leadership and Culture — CEO Tom Wyatt (returned Dec 2025), Gallup Great Workplace Award since 2017, CIO John Zavada, CPO Jessica Harrah, Four Foundational Pillars — kc-learning.com, kcecareers.com, 2026</w:t>
      </w:r>
    </w:p>
    <w:p>
      <w:pPr>
        <w:spacing w:before="20" w:after="20"/>
        <w:ind w:left="170"/>
      </w:pPr>
      <w:r>
        <w:rPr>
          <w:rFonts w:ascii="Calibri" w:hAnsi="Calibri"/>
          <w:b/>
          <w:color w:val="4A6B25"/>
          <w:sz w:val="15"/>
        </w:rPr>
        <w:t xml:space="preserve">3. </w:t>
      </w:r>
      <w:r>
        <w:rPr>
          <w:rFonts w:ascii="Calibri" w:hAnsi="Calibri"/>
          <w:b w:val="0"/>
          <w:color w:val="3A4A28"/>
          <w:sz w:val="17"/>
        </w:rPr>
        <w:t>KinderCare Safety Controversies, Short Seller Report, Congressional Investigation, and Insider Buying — CEO Wyatt $1M purchase at $2.02, Director Nuzzo $55K purchase — Benzinga, SEC Form 4, BusinessWire,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KLC Key Statistics: Forward P/E 9.87x, D/E 539.2%, ROE -67.8%, Profit Margin -17.2%, Stock Price $2.12, Market Cap $251M,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