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KMB</w:t>
      </w:r>
      <w:r>
        <w:rPr>
          <w:rFonts w:ascii="Calibri" w:hAnsi="Calibri"/>
          <w:b/>
          <w:color w:val="1A2010"/>
          <w:sz w:val="40"/>
        </w:rPr>
        <w:t xml:space="preserve">  Kimberly-Clark Corporation</w:t>
      </w:r>
    </w:p>
    <w:p>
      <w:pPr>
        <w:spacing w:after="120"/>
      </w:pPr>
      <w:r>
        <w:rPr>
          <w:rFonts w:ascii="Calibri" w:hAnsi="Calibri"/>
          <w:b/>
          <w:color w:val="6E8450"/>
          <w:sz w:val="18"/>
        </w:rPr>
        <w:t>DIVIDEND SLEEVE · 2026-10-20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NMS · United States</w:t>
      </w:r>
    </w:p>
    <w:p>
      <w:pPr>
        <w:spacing w:after="80"/>
      </w:pPr>
      <w:r>
        <w:rPr>
          <w:rFonts w:ascii="Calibri" w:hAnsi="Calibri"/>
          <w:b w:val="0"/>
          <w:color w:val="3A4A28"/>
          <w:sz w:val="20"/>
        </w:rPr>
        <w:t>Kimberly-Clark manufactures and markets personal care and consumer tissue products worldwide under brands including Huggies, Pull-Ups, Kotex, Depend, Kleenex, Scott, and Cottonelle. The company operates through North America and International Personal Care segments, generating TTM revenue of $16.6B with an 11.8% profit margin. Founded in 1872 and headquartered in Dallas, Texas, KMB is pursuing a transformative $48.7B acquisition of Kenvue (Tylenol, Neutrogena, Listerine) that received shareholder approval in January 2026 with U.S. antitrust clearance secured, expected to close H2 2026. Q1 2026 net sales rose 2.7% to $4.16B with 2.5% organic growth; Q2 2026 net sales of $4.19B grew 0.6% with adjusted operating profit up 6.2%.</w:t>
      </w:r>
    </w:p>
    <w:p>
      <w:r>
        <w:rPr>
          <w:rFonts w:ascii="Calibri" w:hAnsi="Calibri"/>
          <w:b/>
          <w:color w:val="6E8450"/>
          <w:sz w:val="18"/>
        </w:rPr>
        <w:t>36,000 Employees · https://www.kimberly-clark.com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$48.7B acquisition of Kenvue is a transformative pivot that redefines Kimberly-Clark from a pure tissue/diaper CPG company into a ~$32B global health and wellness leader spanning personal care and consumer health brands — shareholder approval secured January 2026 with U.S. antitrust clearance obtained [1][2]. This is the most significant strategic move in KMB's modern history, opening entirely new revenue streams in OTC health and skincare. AI Deployment (1/2): KMB deployed the Maestro AI-powered supply chain platform that saved $20M from global shipping operations, and CIO Francesco Tinto is leading a broader AI-first digital transformation under the Powering Care strategy [3]. No customer-facing AI products are shipping. Market Share (1/2): KMB holds meaningful positions in diapers (Huggies #2 behind P&amp;G's Pampers), facial tissue (Kleenex is the category-defining brand), and adult incontinence (Depend is market leader), but Q1 2026 organic growth of 2.5% and Q2 growth of 0.6% suggest stable share rather than aggressive gains [1][2]. Product Pipeline (1/2): Management has disclosed specific Kenvue merger synergy targets — $1.9B in cost synergies within 3 years and $500M in revenue synergies within 4 years post-close — providing quantified revenue visibility, but no breakthrough organic product launches with specific timelines [1]. R&amp;D Intensity (0/1): Consumer staples R&amp;D spending is inherently low; KMB's R&amp;D intensity is in line with household products peers, not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KMB's purpose — 'Better Care for a Better World' — is specific, thoughtful, and directly tied to making essential hygiene products accessible globally, with the Powering Care strategy and decision to divest non-care businesses demonstrating that leadership aligns strategic decisions with this purpose [3]. The 154-year continuous focus on care products differentiates KMB from diversified consumer goods peers. Falls short of a 4 because the deforestation controversy (Greenpeace Kleercut campaign documenting old-growth boreal forest sourcing) and a 'natural forest-free' target still not fully achieved undercut the credibility of the care mission's execution [4]. Community &amp; Charitable Impact (1/2): KMB operates sustainability programs and community hygiene access initiatives in underserved markets, with commitments to responsible fiber sourcing, though only 5.3% of fiber was FSC-certified at last report [4]. General corporate philanthropy without standout dollar amounts or distinctive programs. Employee Retention (0/2): No specific voluntary turnover data or average tenure figures available to distinguish KMB from industry norms. Insider Buying (0/2): No evidence of meaningful net insider buying by CEO Mike Hsu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KMB's Infrastructure is anchored by an exceptional dividend track record — 54 consecutive years of increases (Dividend King) and 91 years of consecutive payments since 1935 — earning maximum scores on both tenure metrics (2x weight on years paid) [5]. ROE of 104.9% scores 1.0 but is inflated by an extremely thin equity base ($5.26 book value) from decades of aggressive buybacks. Forward P/E of 14.2x is well below the 20x target (score 1.0). The major drags are D/E of 348.9% exceeding the 300% floor (score 0.0), reflecting debt from the pending $48.7B Kenvue acquisition; trailing payout ratio of 100.2% at the 100% floor (score 0.0); profit margin of 11.8% below the 20% target (score 0.59); revenue growth YoY of 0.6% (score 0.69); 5-year revenue CAGR of approximately -3.1% reflecting divestitures (score 0.13); and 5-year dividend growth CAGR of 2.3% below the 6% target (score 0.38, 2x weight) [1][2][5]. Liquidity check: $428M daily dollar volume easily passes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Kimberly-Clark plays a moderately infinite game, anchored by 154 years of continuous operation in essential care products and a genuinely transformative $48.7B Kenvue acquisition that demonstrates both existential flexibility and courage to lead. The 'Better Care for a Better World' purpose is partially lived — validated by strategic focus on care but undercut by historical deforestation controversy. KMB scores well on willingness to bear near-term pain for long-term positioning but lacks evidence of the high-trust culture and self-improvement competitive mindset that define truly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Care for a Better World' is a genuine purpose connecting KMB's hygiene products to human dignity and global health access, validated by 154 years of continuous operation and the strategic decision to divest non-care businesses to refocus entirely on personal care [3]. Leadership references this purpose in strategic communications, and the Powering Care strategy demonstrably shapes resource allocation. However, the cause is partially undermined by the 2006 Greenpeace Kleercut campaign documenting old-growth boreal forest sourcing despite public sustainability claims, and a 'natural forest-free' target still not fully achieved nearly two decades later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KMB maintains a stable organization with consistent leadership — CEO Mike Hsu since 2019, with experienced digital leaders Francesco Tinto (CIO) and Zack Hicks (CDTO) brought in to drive transformation [3]. No evidence of major cultural crises or organizational instability. However, the pending ~3.5% workforce reduction for Kenvue integration and reports of 'constant restructuring over the last 5 years' suggest change-management fatigue that may erode trust among employees navigating yet another organizational transformation.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competitors such as Procter &amp; Gamble or Unilever as sources of self-improvement rather than rivals to defeat was identified. KMB's competitive language centers on 'winning' in categories and building scale through the Kenvue acquisition to compete more effectively — a 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$48.7B Kenvue acquisition represents a genuinely transformative reinvention — KMB is expanding beyond its century-old core of diapers, tissue, and personal care products into OTC health and skincare (Tylenol, Neutrogena, Listerine), creating a ~$32B combined health and wellness leader [1]. Combined with the prior divestitures of K-C Professional and consumer tissue, KMB has fundamentally reshaped its business model within five years from a diversified paper/consumer goods conglomerate to a focused health and personal care company.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committed to a $48.7B acquisition of Kenvue that materially increases leverage (D/E of 349%), requires a ~3.5% global workforce reduction, and $250M in FY2026 restructuring charges — a costly, near-term-painful bet made in service of long-term category leadership in health and wellness rather than short-term earnings optimization [1]. Additionally, the decision to divest K-C Professional and consumer tissue businesses voluntarily walked away from established revenue streams to concentrate resources on the care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KMB at $105 with a $35B market cap is a 154-year-old Dividend King yielding 4.86% with 54 consecutive years of dividend increases, executing a transformative $48.7B acquisition of Kenvue that would create a ~$32B global health and wellness leader spanning Huggies, Kleenex, Tylenol, Neutrogena, and Listerine [1]. Management has identified $1.9B in cost synergies within three years and $500M in revenue synergies within four years, providing a credible path to margin expansion post-close. Q1 2026 delivered 2.7% net sales growth with 2.5% organic growth, and management guides mid-to-high single-digit adjusted operating profit growth and double-digit adjusted EPS growth on a constant-currency basis [1][2]. Forward P/E of 14.2x is attractive for a defensive compounder with a 0.275 beta, and the Maestro AI supply chain platform has demonstrated $20M in logistics savings [3].</w:t>
      </w:r>
    </w:p>
    <w:p>
      <w:pPr>
        <w:spacing w:after="120"/>
      </w:pPr>
      <w:r>
        <w:rPr>
          <w:rFonts w:ascii="Calibri" w:hAnsi="Calibri"/>
          <w:b w:val="0"/>
          <w:color w:val="3A4A28"/>
          <w:sz w:val="20"/>
        </w:rPr>
        <w:t>The bear case centers on balance sheet stress and execution risk. D/E of 349% reflects the massive debt load for the Kenvue acquisition, and the trailing payout ratio of 100.2% leaves zero margin of safety if integration costs exceed expectations or synergies are delayed beyond the 3-4 year targets [5]. Revenue has declined at a -3.1% 5-year CAGR due to divestitures, and organic growth is stuck in low single digits — Q2 2026 revenue grew only 0.6% YoY and adjusted EPS of $1.80 missed the $2.00 consensus estimate [2]. A California distribution center fire will weigh approximately $50M on results, and the CFO warned of $150-170M in additional raw material cost pressure if crude oil stays near $100/barrel [2]. The ambitious Kenvue integration of two large organizations with different cultures — plus a ~3.5% global workforce reduction and $250M in FY2026 restructuring charges — introduces significant execution risk. KMB's historical deforestation controversy (Greenpeace Kleercut campaign) and unmet 'natural forest-free' targets create residual reputational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Kenvue acquisition closing in H2 2026 with $1.9B in identified cost synergies over 3 years and $500M in revenue synergies over 4 years could meaningfully expand combined-company margins and diversify the revenue base into OTC health and skincare [1]</w:t>
      </w:r>
    </w:p>
    <w:p>
      <w:pPr>
        <w:spacing w:before="40" w:after="40"/>
        <w:ind w:left="283"/>
      </w:pPr>
      <w:r>
        <w:rPr>
          <w:rFonts w:ascii="Calibri" w:hAnsi="Calibri"/>
          <w:b/>
          <w:color w:val="4A6B25"/>
          <w:sz w:val="20"/>
        </w:rPr>
        <w:t xml:space="preserve">2. </w:t>
      </w:r>
      <w:r>
        <w:rPr>
          <w:rFonts w:ascii="Calibri" w:hAnsi="Calibri"/>
          <w:b w:val="0"/>
          <w:color w:val="3A4A28"/>
          <w:sz w:val="20"/>
        </w:rPr>
        <w:t>Management guiding double-digit adjusted EPS growth on constant-currency basis through productivity programs, Maestro AI supply chain optimization, and volume-led organic growth in personal care segments [2][3]</w:t>
      </w:r>
    </w:p>
    <w:p>
      <w:pPr>
        <w:spacing w:before="40" w:after="40"/>
        <w:ind w:left="283"/>
      </w:pPr>
      <w:r>
        <w:rPr>
          <w:rFonts w:ascii="Calibri" w:hAnsi="Calibri"/>
          <w:b/>
          <w:color w:val="4A6B25"/>
          <w:sz w:val="20"/>
        </w:rPr>
        <w:t xml:space="preserve">3. </w:t>
      </w:r>
      <w:r>
        <w:rPr>
          <w:rFonts w:ascii="Calibri" w:hAnsi="Calibri"/>
          <w:b w:val="0"/>
          <w:color w:val="3A4A28"/>
          <w:sz w:val="20"/>
        </w:rPr>
        <w:t>Dividend King status (54 consecutive years of increases) combined with 4.86% yield and 14.2x forward P/E provides compelling income value for defensive positioning in an uncertain macro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349% and trailing payout ratio of 100.2% leave minimal financial flexibility — if Kenvue integration costs exceed expectations or projected synergies are delayed, the 54-year dividend growth streak could be threatened [5]</w:t>
      </w:r>
    </w:p>
    <w:p>
      <w:pPr>
        <w:spacing w:before="40" w:after="40"/>
        <w:ind w:left="283"/>
      </w:pPr>
      <w:r>
        <w:rPr>
          <w:rFonts w:ascii="Calibri" w:hAnsi="Calibri"/>
          <w:b/>
          <w:color w:val="4A6B25"/>
          <w:sz w:val="20"/>
        </w:rPr>
        <w:t xml:space="preserve">2. </w:t>
      </w:r>
      <w:r>
        <w:rPr>
          <w:rFonts w:ascii="Calibri" w:hAnsi="Calibri"/>
          <w:b w:val="0"/>
          <w:color w:val="3A4A28"/>
          <w:sz w:val="20"/>
        </w:rPr>
        <w:t>Raw material cost exposure of $150-170M annually if crude oil remains near $100/barrel, combined with $50M California distribution center fire impact, compressing margins on a business with only 11.8% profit margin [2]</w:t>
      </w:r>
    </w:p>
    <w:p>
      <w:pPr>
        <w:spacing w:before="40" w:after="40"/>
        <w:ind w:left="283"/>
      </w:pPr>
      <w:r>
        <w:rPr>
          <w:rFonts w:ascii="Calibri" w:hAnsi="Calibri"/>
          <w:b/>
          <w:color w:val="4A6B25"/>
          <w:sz w:val="20"/>
        </w:rPr>
        <w:t xml:space="preserve">3. </w:t>
      </w:r>
      <w:r>
        <w:rPr>
          <w:rFonts w:ascii="Calibri" w:hAnsi="Calibri"/>
          <w:b w:val="0"/>
          <w:color w:val="3A4A28"/>
          <w:sz w:val="20"/>
        </w:rPr>
        <w:t>Complex integration of two large organizations with different cultures (3.5% workforce reduction, $250M restructuring charges) during a period when standalone organic growth is only 0.6-2.7% YoY, introducing significant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KMB's core business — manufacturing and distributing physical consumer products including diapers, tissue, feminine care, and adult incontinence products — is structurally immune to AI disruption [5]. AI cannot substitute for physical hygiene products; consumers will continue to need Huggies diapers and Kleenex tissue regardless of AI advances. No analysts have flagged AI substitution risk for KMB's product categories. The pending Kenvue combination adds physical OTC health and skincare manufacturing, further reinforcing the physical-product moat [1]. AI may marginally improve supply chain efficiency but poses zero threat to product demand. AI Opportunity (0/1): KMB does not generate revenue from AI products or services. The Maestro supply chain platform drives internal cost savings ($20M cited) but is an operational tool, not a revenue-generating AI product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Kimberly-Clark / Kenvue Acquisition — $48.7B deal, shareholder approval January 2026, antitrust clearance, $1.9B cost synergies, $500M revenue synergies — SEC Filings, Sure Dividend, 2025-2026</w:t>
      </w:r>
    </w:p>
    <w:p>
      <w:pPr>
        <w:spacing w:before="20" w:after="20"/>
        <w:ind w:left="170"/>
      </w:pPr>
      <w:r>
        <w:rPr>
          <w:rFonts w:ascii="Calibri" w:hAnsi="Calibri"/>
          <w:b/>
          <w:color w:val="4A6B25"/>
          <w:sz w:val="15"/>
        </w:rPr>
        <w:t xml:space="preserve">2. </w:t>
      </w:r>
      <w:r>
        <w:rPr>
          <w:rFonts w:ascii="Calibri" w:hAnsi="Calibri"/>
          <w:b w:val="0"/>
          <w:color w:val="3A4A28"/>
          <w:sz w:val="17"/>
        </w:rPr>
        <w:t>Kimberly-Clark Q1-Q2 2026 Earnings — Q1 net sales $4.16B (+2.7%), Q2 net sales $4.19B (+0.6%), adj EPS $1.80, adj operating profit +6.2%, $50M fire impact, $150-170M raw material risk — SEC 8-K,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Kimberly-Clark AI Strategy and Digital Leadership — Maestro AI platform $20M savings, CIO Francesco Tinto, CDTO Zack Hicks, Powering Care strategy — ABI Research, CIO Dive, Metis Strategy, 2023-2026</w:t>
      </w:r>
    </w:p>
    <w:p>
      <w:pPr>
        <w:spacing w:before="20" w:after="20"/>
        <w:ind w:left="170"/>
      </w:pPr>
      <w:r>
        <w:rPr>
          <w:rFonts w:ascii="Calibri" w:hAnsi="Calibri"/>
          <w:b/>
          <w:color w:val="4A6B25"/>
          <w:sz w:val="15"/>
        </w:rPr>
        <w:t xml:space="preserve">4. </w:t>
      </w:r>
      <w:r>
        <w:rPr>
          <w:rFonts w:ascii="Calibri" w:hAnsi="Calibri"/>
          <w:b w:val="0"/>
          <w:color w:val="3A4A28"/>
          <w:sz w:val="17"/>
        </w:rPr>
        <w:t>Kimberly-Clark ESG and Sustainability — Greenpeace Kleercut campaign, boreal forest sourcing controversy, 5.3% FSC-certified fiber, Sustainalytics moderate controversy rating — Greenpeace, Sustainalytics, IATP</w:t>
      </w:r>
    </w:p>
    <w:p>
      <w:pPr>
        <w:spacing w:before="20" w:after="20"/>
        <w:ind w:left="170"/>
      </w:pPr>
      <w:r>
        <w:rPr>
          <w:rFonts w:ascii="Calibri" w:hAnsi="Calibri"/>
          <w:b/>
          <w:color w:val="4A6B25"/>
          <w:sz w:val="15"/>
        </w:rPr>
        <w:t xml:space="preserve">5. </w:t>
      </w:r>
      <w:r>
        <w:rPr>
          <w:rFonts w:ascii="Calibri" w:hAnsi="Calibri"/>
          <w:b w:val="0"/>
          <w:color w:val="3A4A28"/>
          <w:sz w:val="17"/>
        </w:rPr>
        <w:t>Yahoo Finance — KMB key statistics, financial data, dividend history,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