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drawing>
          <wp:inline xmlns:a="http://schemas.openxmlformats.org/drawingml/2006/main" xmlns:pic="http://schemas.openxmlformats.org/drawingml/2006/picture">
            <wp:extent cx="1371600" cy="723227"/>
            <wp:docPr id="1" name="Picture 1"/>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1371600" cy="723227"/>
                    </a:xfrm>
                    <a:prstGeom prst="rect"/>
                  </pic:spPr>
                </pic:pic>
              </a:graphicData>
            </a:graphic>
          </wp:inline>
        </w:drawing>
      </w:r>
    </w:p>
    <w:p>
      <w:pPr>
        <w:spacing w:before="120" w:after="40"/>
      </w:pPr>
      <w:r>
        <w:rPr>
          <w:rFonts w:ascii="Calibri" w:hAnsi="Calibri"/>
          <w:b/>
          <w:color w:val="4A6B25"/>
          <w:sz w:val="56"/>
        </w:rPr>
        <w:t>KMI</w:t>
      </w:r>
      <w:r>
        <w:rPr>
          <w:rFonts w:ascii="Calibri" w:hAnsi="Calibri"/>
          <w:b/>
          <w:color w:val="1A2010"/>
          <w:sz w:val="40"/>
        </w:rPr>
        <w:t xml:space="preserve">  Kinder Morgan, Inc.</w:t>
      </w:r>
    </w:p>
    <w:p>
      <w:pPr>
        <w:spacing w:after="120"/>
      </w:pPr>
      <w:r>
        <w:rPr>
          <w:rFonts w:ascii="Calibri" w:hAnsi="Calibri"/>
          <w:b/>
          <w:color w:val="6E8450"/>
          <w:sz w:val="18"/>
        </w:rPr>
        <w:t>DIVIDEND SLEEVE · 2026-10-04 · Inspire: 30 · MIXED</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1200" w:type="dxa"/>
      </w:tblPr>
      <w:tblGrid>
        <w:gridCol w:w="10800"/>
      </w:tblGrid>
      <w:tr>
        <w:tc>
          <w:tcPr>
            <w:tcW w:type="dxa" w:w="10800"/>
            <w:shd w:fill="E3F2FD" w:val="clear"/>
          </w:tcPr>
          <w:p>
            <w:pPr>
              <w:spacing w:before="40" w:after="40"/>
              <w:jc w:val="center"/>
            </w:pPr>
            <w:r>
              <w:rPr>
                <w:rFonts w:ascii="Calibri" w:hAnsi="Calibri"/>
                <w:b/>
                <w:color w:val="2563EB"/>
                <w:sz w:val="20"/>
              </w:rPr>
              <w:t>WATCH</w:t>
            </w:r>
          </w:p>
        </w:tc>
      </w:tr>
    </w:tbl>
    <w:p>
      <w:pPr>
        <w:spacing w:before="120" w:after="200"/>
      </w:pPr>
      <w:r>
        <w:rPr>
          <w:rFonts w:ascii="Calibri" w:hAnsi="Calibri"/>
          <w:b/>
          <w:color w:val="1A2010"/>
          <w:sz w:val="80"/>
        </w:rPr>
        <w:t>59</w:t>
      </w:r>
      <w:r>
        <w:rPr>
          <w:rFonts w:ascii="Calibri" w:hAnsi="Calibri"/>
          <w:b w:val="0"/>
          <w:color w:val="9DAF88"/>
          <w:sz w:val="28"/>
        </w:rPr>
        <w:t xml:space="preserve"> / </w:t>
      </w:r>
      <w:r>
        <w:rPr>
          <w:rFonts w:ascii="Calibri" w:hAnsi="Calibri"/>
          <w:b w:val="0"/>
          <w:color w:val="9DAF88"/>
          <w:sz w:val="24"/>
        </w:rPr>
        <w:t>100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COMPANY PROFILE</w:t>
            </w:r>
          </w:p>
        </w:tc>
      </w:tr>
    </w:tbl>
    <w:p>
      <w:r>
        <w:rPr>
          <w:rFonts w:ascii="Calibri" w:hAnsi="Calibri"/>
          <w:b/>
          <w:color w:val="6E8450"/>
          <w:sz w:val="18"/>
        </w:rPr>
        <w:t>Energy · Oil &amp; Gas Midstream · NYSE · United States</w:t>
      </w:r>
    </w:p>
    <w:p>
      <w:pPr>
        <w:spacing w:after="80"/>
      </w:pPr>
      <w:r>
        <w:rPr>
          <w:rFonts w:ascii="Calibri" w:hAnsi="Calibri"/>
          <w:b w:val="0"/>
          <w:color w:val="3A4A28"/>
          <w:sz w:val="20"/>
        </w:rPr>
        <w:t>Kinder Morgan, Inc. is one of the largest energy infrastructure companies in North America, owning and operating approximately 83,000 miles of pipelines, 141 terminals, and 700 billion cubic feet of working natural gas storage capacity. The company transports approximately 40% of the natural gas consumed in the United States. Q2 2026 revenue of $4.48B (+10.8% YoY) with record net income of $867M and record adjusted EBITDA of $2.2B (+12% YoY). Full-year guidance raised for the second consecutive quarter. Executive Chairman Richard Kinder, CEO Kimberly Allen Dang. Headquartered in Houston, Texas. Market cap ~$69B.</w:t>
      </w:r>
    </w:p>
    <w:p>
      <w:r>
        <w:rPr>
          <w:rFonts w:ascii="Calibri" w:hAnsi="Calibri"/>
          <w:b/>
          <w:color w:val="6E8450"/>
          <w:sz w:val="18"/>
        </w:rPr>
        <w:t>11,028 Employees · https://www.kindermorgan.com</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EXCELLENCE EVALUATION — THINK LIKE AN OWNER (50%)</w:t>
            </w:r>
          </w:p>
        </w:tc>
      </w:tr>
    </w:tbl>
    <w:p>
      <w:pPr>
        <w:spacing w:before="200" w:after="40"/>
      </w:pPr>
      <w:r>
        <w:rPr>
          <w:rFonts w:ascii="Calibri" w:hAnsi="Calibri"/>
          <w:b/>
          <w:color w:val="1A2010"/>
          <w:sz w:val="22"/>
        </w:rPr>
        <w:t>Innovation</w:t>
      </w:r>
      <w:r>
        <w:rPr>
          <w:rFonts w:ascii="Calibri" w:hAnsi="Calibri"/>
          <w:b w:val="0"/>
          <w:color w:val="1A2010"/>
          <w:sz w:val="22"/>
        </w:rPr>
        <w:t xml:space="preserve">  </w:t>
      </w:r>
      <w:r>
        <w:rPr>
          <w:rFonts w:ascii="Calibri" w:hAnsi="Calibri"/>
          <w:b/>
          <w:color w:val="B8860B"/>
          <w:sz w:val="16"/>
        </w:rPr>
        <w:t xml:space="preserve"> DEVELOPING </w:t>
      </w:r>
    </w:p>
    <w:p>
      <w:pPr>
        <w:spacing w:before="0" w:after="40"/>
      </w:pPr>
      <w:r>
        <w:rPr>
          <w:rFonts w:ascii="Calibri" w:hAnsi="Calibri"/>
          <w:b/>
          <w:color w:val="B8860B"/>
          <w:sz w:val="28"/>
        </w:rPr>
        <w:t>5</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2756"/>
            <w:shd w:fill="B8860B" w:val="clear"/>
          </w:tcPr>
          <w:p>
            <w:pPr>
              <w:spacing w:before="0" w:after="0"/>
            </w:pPr>
            <w:r>
              <w:rPr>
                <w:rFonts w:ascii="Calibri" w:hAnsi="Calibri"/>
                <w:b w:val="0"/>
                <w:color w:val="1A2010"/>
                <w:sz w:val="4"/>
              </w:rPr>
            </w:r>
          </w:p>
        </w:tc>
        <w:tc>
          <w:tcPr>
            <w:tcW w:type="dxa" w:w="2756"/>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Track Record (1/3): Kinder Morgan has expanded its pipeline capacity to serve growing AI data center demand, with a record project backlog exceeding $10B [1]. Natural gas transport volumes rose 7% and gathering volumes jumped 26% in Q2 2026, led by the Haynesville basin [1]. These represent successful capacity expansion execution rather than transformative business model pivots. AI Deployment (1/2): CEO Kim Dang and CFO David Michels have articulated a disciplined approach to AI, avoiding 'spray-and-pray' and prioritizing incremental revenue generation over generic cost-cutting [2]. The company deploys AI for pipeline integrity monitoring, operational efficiency, and revenue optimization through CFO-CIO collaboration. No specific revenue or savings figures disclosed yet. Market Share (2/2): Kinder Morgan transports approximately 40% of the natural gas consumed in the United States — a dominant position in critical energy infrastructure that is virtually irreplaceable [2]. This infrastructure took decades and tens of billions of dollars to build and is protected by extensive permitting and right-of-way barriers. Product Pipeline (1/2): Record $10B+ project backlog with specific expansion projects serving growing AI data center natural gas demand, LNG export facilities, and industrial users [1]. Management raised full-year 2026 guidance for the second consecutive quarter, citing backlog visibility. R&amp;D Intensity (0/1): Midstream companies do not maintain traditional R&amp;D operations.</w:t>
      </w:r>
    </w:p>
    <w:p>
      <w:pPr>
        <w:spacing w:before="200" w:after="40"/>
      </w:pPr>
      <w:r>
        <w:rPr>
          <w:rFonts w:ascii="Calibri" w:hAnsi="Calibri"/>
          <w:b/>
          <w:color w:val="1A2010"/>
          <w:sz w:val="22"/>
        </w:rPr>
        <w:t>Inspiration</w:t>
      </w:r>
      <w:r>
        <w:rPr>
          <w:rFonts w:ascii="Calibri" w:hAnsi="Calibri"/>
          <w:b w:val="0"/>
          <w:color w:val="1A2010"/>
          <w:sz w:val="22"/>
        </w:rPr>
        <w:t xml:space="preserve">  </w:t>
      </w:r>
      <w:r>
        <w:rPr>
          <w:rFonts w:ascii="Calibri" w:hAnsi="Calibri"/>
          <w:b/>
          <w:color w:val="DC2626"/>
          <w:sz w:val="16"/>
        </w:rPr>
        <w:t xml:space="preserve"> WEAK </w:t>
      </w:r>
    </w:p>
    <w:p>
      <w:pPr>
        <w:spacing w:before="0" w:after="40"/>
      </w:pPr>
      <w:r>
        <w:rPr>
          <w:rFonts w:ascii="Calibri" w:hAnsi="Calibri"/>
          <w:b/>
          <w:color w:val="DC2626"/>
          <w:sz w:val="28"/>
        </w:rPr>
        <w:t>3</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1654"/>
            <w:shd w:fill="DC2626" w:val="clear"/>
          </w:tcPr>
          <w:p>
            <w:pPr>
              <w:spacing w:before="0" w:after="0"/>
            </w:pPr>
            <w:r>
              <w:rPr>
                <w:rFonts w:ascii="Calibri" w:hAnsi="Calibri"/>
                <w:b w:val="0"/>
                <w:color w:val="1A2010"/>
                <w:sz w:val="4"/>
              </w:rPr>
            </w:r>
          </w:p>
        </w:tc>
        <w:tc>
          <w:tcPr>
            <w:tcW w:type="dxa" w:w="3858"/>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Mission Floor (1/4): Kinder Morgan's purpose centers on safely and reliably transporting energy across North America — a functional and clear mission that serves a critical infrastructure need but does not articulate a deeper vision of a better future [2]. The company's messaging focuses on operational excellence and capital discipline rather than transformative purpose. Community Impact (1/2): KMI pays substantial property taxes in communities along its 83,000-mile network and maintains community engagement programs on energy and environmental justice [3]. Renewable investments include diesel hubs in California, a renewable feedstock hub in Louisiana, and a growing renewable natural gas platform. KMI has reduced Scope 1 emissions by ~2.6% and methane intensity. Standard for the industry but meaningful in scale. Employee Retention (0/2): No specific employee retention data or tenure statistics identified. CEO Kim Dang's 20+ year tenure and President Dax Sanders' internal promotion suggest leadership stability. Insider Buying (1/2): Founder Richard Kinder maintains one of the largest individual insider positions in the S&amp;P 500 — famously taking a $1 annual salary and aligning his compensation entirely with long-term shareholder outcomes [2]. While specific recent open-market purchase data was not identified, his sustained significant equity ownership (~11% stake) represents exceptional insider conviction.</w:t>
      </w:r>
    </w:p>
    <w:p>
      <w:pPr>
        <w:spacing w:before="200" w:after="40"/>
      </w:pPr>
      <w:r>
        <w:rPr>
          <w:rFonts w:ascii="Calibri" w:hAnsi="Calibri"/>
          <w:b/>
          <w:color w:val="1A2010"/>
          <w:sz w:val="22"/>
        </w:rPr>
        <w:t>Infrastructure</w:t>
      </w:r>
      <w:r>
        <w:rPr>
          <w:rFonts w:ascii="Calibri" w:hAnsi="Calibri"/>
          <w:b w:val="0"/>
          <w:color w:val="1A2010"/>
          <w:sz w:val="22"/>
        </w:rPr>
        <w:t xml:space="preserve">  </w:t>
      </w:r>
      <w:r>
        <w:rPr>
          <w:rFonts w:ascii="Calibri" w:hAnsi="Calibri"/>
          <w:b/>
          <w:color w:val="16A34A"/>
          <w:sz w:val="16"/>
        </w:rPr>
        <w:t xml:space="preserve"> STRONG </w:t>
      </w:r>
    </w:p>
    <w:p>
      <w:pPr>
        <w:spacing w:before="0" w:after="40"/>
      </w:pPr>
      <w:r>
        <w:rPr>
          <w:rFonts w:ascii="Calibri" w:hAnsi="Calibri"/>
          <w:b/>
          <w:color w:val="16A34A"/>
          <w:sz w:val="28"/>
        </w:rPr>
        <w:t>8</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4409"/>
            <w:shd w:fill="16A34A" w:val="clear"/>
          </w:tcPr>
          <w:p>
            <w:pPr>
              <w:spacing w:before="0" w:after="0"/>
            </w:pPr>
            <w:r>
              <w:rPr>
                <w:rFonts w:ascii="Calibri" w:hAnsi="Calibri"/>
                <w:b w:val="0"/>
                <w:color w:val="1A2010"/>
                <w:sz w:val="4"/>
              </w:rPr>
            </w:r>
          </w:p>
        </w:tc>
        <w:tc>
          <w:tcPr>
            <w:tcW w:type="dxa" w:w="1102"/>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Mechanically scored on available metrics showing improvement from Q2 2026 record earnings. D/E of 98.6% reflects the capital-intensive nature of pipeline infrastructure, scoring 0.876 — manageable for a company with highly predictable fee-based cash flows [4]. ROE of 11.0% improved from prior periods though still below the 15% target [4]. Revenue growth of 10.8% YoY scores perfectly, driven by record natural gas transport volumes from AI data center demand and the Haynesville basin [1]. Estimated 5yr revenue CAGR of ~2% lags the target due to commodity price volatility in the base year. Forward P/E of 20.1 is essentially at the 20 target [4]. Profit margin of 19.3% approaches the 20% target and improving [4]. Dividend profile: 12 consecutive years of payments (2× weight, 1.0), 9 consecutive years of growth approaching the 10-year target (1× weight, 0.9), payout ratio of 75.8% is elevated at 0.40 but manageable for fee-based midstream cash flows [4]. 5yr dividend growth CAGR of ~2.2% trails the 6% target as KMI prioritizes internal funding and debt reduction after the 2015 reset. Liquidity easily passes: ~10.9M shares × $31.07 = ~$339M daily traded value.</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FINITE VS INFINITE GAME — SINEK (25%)</w:t>
            </w:r>
          </w:p>
        </w:tc>
      </w:tr>
    </w:tbl>
    <w:p>
      <w:pPr>
        <w:spacing w:after="40"/>
      </w:pPr>
      <w:r>
        <w:rPr>
          <w:rFonts w:ascii="Calibri" w:hAnsi="Calibri"/>
          <w:b w:val="0"/>
          <w:color w:val="6E8450"/>
          <w:sz w:val="22"/>
        </w:rPr>
        <w:t xml:space="preserve">Mindset: </w:t>
      </w:r>
      <w:r>
        <w:rPr>
          <w:rFonts w:ascii="Calibri" w:hAnsi="Calibri"/>
          <w:b/>
          <w:color w:val="B8860B"/>
          <w:sz w:val="22"/>
        </w:rPr>
        <w:t>MIXED</w:t>
      </w:r>
      <w:r>
        <w:rPr>
          <w:rFonts w:ascii="Calibri" w:hAnsi="Calibri"/>
          <w:b w:val="0"/>
          <w:color w:val="6E8450"/>
          <w:sz w:val="22"/>
        </w:rPr>
        <w:t xml:space="preserve">      Overall: </w:t>
      </w:r>
      <w:r>
        <w:rPr>
          <w:rFonts w:ascii="Calibri" w:hAnsi="Calibri"/>
          <w:b/>
          <w:color w:val="B8860B"/>
          <w:sz w:val="28"/>
        </w:rPr>
        <w:t>5</w:t>
      </w:r>
      <w:r>
        <w:rPr>
          <w:rFonts w:ascii="Calibri" w:hAnsi="Calibri"/>
          <w:b w:val="0"/>
          <w:color w:val="9DAF88"/>
          <w:sz w:val="18"/>
        </w:rPr>
        <w:t xml:space="preserve"> /10</w:t>
      </w:r>
    </w:p>
    <w:p>
      <w:pPr>
        <w:spacing w:after="120"/>
      </w:pPr>
      <w:r>
        <w:rPr>
          <w:rFonts w:ascii="Calibri" w:hAnsi="Calibri"/>
          <w:b w:val="0"/>
          <w:color w:val="3A4A28"/>
          <w:sz w:val="18"/>
        </w:rPr>
        <w:t>Kinder Morgan demonstrates meaningful infinite game characteristics anchored by the 2015 dividend cut — a profoundly courageous decision that sacrificed 75% of near-term income to fund growth internally and reduce $42B in net debt. Richard Kinder's philosophy of extreme capital discipline, maintained over two decades with a $1 salary, reflects genuine long-term orientation. CEO Kim Dang, a 20+ year company veteran promoted internally, provides leadership continuity. However, the Just Cause remains underdeveloped — energy infrastructure is critical but not inspirational in the Sinek sense — and the company has not demonstrated transformative reinvention beyond structural and financial adaptations.</w:t>
      </w:r>
    </w:p>
    <w:p>
      <w:pPr>
        <w:spacing w:before="200" w:after="40"/>
      </w:pPr>
      <w:r>
        <w:rPr>
          <w:rFonts w:ascii="Calibri" w:hAnsi="Calibri"/>
          <w:b/>
          <w:color w:val="1A2010"/>
          <w:sz w:val="22"/>
        </w:rPr>
        <w:t>Just Cause</w:t>
      </w:r>
    </w:p>
    <w:p>
      <w:pPr>
        <w:spacing w:before="0" w:after="40"/>
      </w:pPr>
      <w:r>
        <w:rPr>
          <w:rFonts w:ascii="Calibri" w:hAnsi="Calibri"/>
          <w:b/>
          <w:color w:val="B8860B"/>
          <w:sz w:val="28"/>
        </w:rPr>
        <w:t>4</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2205"/>
            <w:shd w:fill="B8860B" w:val="clear"/>
          </w:tcPr>
          <w:p>
            <w:pPr>
              <w:spacing w:before="0" w:after="0"/>
            </w:pPr>
            <w:r>
              <w:rPr>
                <w:rFonts w:ascii="Calibri" w:hAnsi="Calibri"/>
                <w:b w:val="0"/>
                <w:color w:val="1A2010"/>
                <w:sz w:val="4"/>
              </w:rPr>
            </w:r>
          </w:p>
        </w:tc>
        <w:tc>
          <w:tcPr>
            <w:tcW w:type="dxa" w:w="3307"/>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Just Cause (1/3): Kinder Morgan's purpose of safely and reliably transporting energy serves a critical national infrastructure function, and the company's role enabling 40% of U.S. natural gas consumption connects to energy security and economic activity [2]. However, this purpose describes what the company does rather than articulating a vision of a future state. The 'Kinder philosophy' of capital discipline is a business methodology, not a Just Cause. It is not so bold that it can never be fully achieved.</w:t>
      </w:r>
    </w:p>
    <w:p>
      <w:pPr>
        <w:spacing w:before="200" w:after="40"/>
      </w:pPr>
      <w:r>
        <w:rPr>
          <w:rFonts w:ascii="Calibri" w:hAnsi="Calibri"/>
          <w:b/>
          <w:color w:val="1A2010"/>
          <w:sz w:val="22"/>
        </w:rPr>
        <w:t>Trusting Teams</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Trusting Teams (1/2): Kinder Morgan benefits from exceptional leadership continuity: CEO Kim Dang has been with the company for over 20 years, and the senior leadership team including President Dax Sanders and CFO David Michels is highly experienced and stable [2]. The company maintains approximately 11,000 employees across its pipeline network. Leadership is regarded for transparent communication with Wall Street. The Office of the Chairman structure (Kinder, Dang, Sanders) provides institutional stability. However, no specific employee retention data, cultural indicators, or evidence of exceptional trust practices were identified.</w:t>
      </w:r>
    </w:p>
    <w:p>
      <w:pPr>
        <w:spacing w:before="200" w:after="40"/>
      </w:pPr>
      <w:r>
        <w:rPr>
          <w:rFonts w:ascii="Calibri" w:hAnsi="Calibri"/>
          <w:b/>
          <w:color w:val="1A2010"/>
          <w:sz w:val="22"/>
        </w:rPr>
        <w:t>Worthy Rivals</w:t>
      </w:r>
    </w:p>
    <w:p>
      <w:pPr>
        <w:spacing w:before="0" w:after="40"/>
      </w:pPr>
      <w:r>
        <w:rPr>
          <w:rFonts w:ascii="Calibri" w:hAnsi="Calibri"/>
          <w:b/>
          <w:color w:val="DC2626"/>
          <w:sz w:val="28"/>
        </w:rPr>
        <w:t>3</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1654"/>
            <w:shd w:fill="DC2626" w:val="clear"/>
          </w:tcPr>
          <w:p>
            <w:pPr>
              <w:spacing w:before="0" w:after="0"/>
            </w:pPr>
            <w:r>
              <w:rPr>
                <w:rFonts w:ascii="Calibri" w:hAnsi="Calibri"/>
                <w:b w:val="0"/>
                <w:color w:val="1A2010"/>
                <w:sz w:val="4"/>
              </w:rPr>
            </w:r>
          </w:p>
        </w:tc>
        <w:tc>
          <w:tcPr>
            <w:tcW w:type="dxa" w:w="3858"/>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Worthy Rivals (0/1): Kinder Morgan's competitive language focuses on its own infrastructure advantages — 40% market share in natural gas transport, 83,000 miles of pipelines — rather than learning from rivals' strengths [2]. No evidence of management explicitly acknowledging competitors' strengths or framing competition as motivation for self-improvement. The midstream sector's collaborative elements (interconnecting pipelines) are operational necessity, not competitive learning.</w:t>
      </w:r>
    </w:p>
    <w:p>
      <w:pPr>
        <w:spacing w:before="200" w:after="40"/>
      </w:pPr>
      <w:r>
        <w:rPr>
          <w:rFonts w:ascii="Calibri" w:hAnsi="Calibri"/>
          <w:b/>
          <w:color w:val="1A2010"/>
          <w:sz w:val="22"/>
        </w:rPr>
        <w:t>Existential Flexibility</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Existential Flexibility (1/2): Kinder Morgan has demonstrated meaningful strategic adaptation: consolidating from MLP structure to C-Corporation in 2014, slashing the dividend by 75% in 2015 to fund internal growth, and now pivoting to serve AI data center demand as a growth catalyst with a record $10B+ expansion backlog [1][2]. Renewable natural gas platform and renewable diesel investments show energy transition awareness. Each represented a significant business model evolution. However, the core business — owning and operating pipeline infrastructure — has remained fundamentally unchanged for decades.</w:t>
      </w:r>
    </w:p>
    <w:p>
      <w:pPr>
        <w:spacing w:before="200" w:after="40"/>
      </w:pPr>
      <w:r>
        <w:rPr>
          <w:rFonts w:ascii="Calibri" w:hAnsi="Calibri"/>
          <w:b/>
          <w:color w:val="1A2010"/>
          <w:sz w:val="22"/>
        </w:rPr>
        <w:t>Courage To Lead</w:t>
      </w:r>
    </w:p>
    <w:p>
      <w:pPr>
        <w:spacing w:before="0" w:after="40"/>
      </w:pPr>
      <w:r>
        <w:rPr>
          <w:rFonts w:ascii="Calibri" w:hAnsi="Calibri"/>
          <w:b/>
          <w:color w:val="16A34A"/>
          <w:sz w:val="28"/>
        </w:rPr>
        <w:t>10</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5512"/>
            <w:shd w:fill="16A34A" w:val="clear"/>
          </w:tcPr>
          <w:p>
            <w:pPr>
              <w:spacing w:before="0" w:after="0"/>
            </w:pPr>
            <w:r>
              <w:rPr>
                <w:rFonts w:ascii="Calibri" w:hAnsi="Calibri"/>
                <w:b w:val="0"/>
                <w:color w:val="1A2010"/>
                <w:sz w:val="4"/>
              </w:rPr>
            </w:r>
          </w:p>
        </w:tc>
        <w:tc>
          <w:tcPr>
            <w:tcW w:type="dxa" w:w="0"/>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Courage to Lead (2/2): The 2015 dividend cut — reducing payments by 75% from $2.00 to $0.50 per share — is a textbook example of Sinek's 'courage to lead' [2]. KMI's board sacrificed massive near-term shareholder income to fund growth internally and reduce leverage, absorbing enormous investor backlash (the stock fell 60% from its peak) for a decision that was validated by subsequent financial performance. The company reduced net debt from $42B to approximately $31B, rebuilt the dividend from $0.50 to $1.18 with 9 consecutive years of growth, and now has a record $10B+ project backlog [1]. Richard Kinder's $1 salary aligns his compensation entirely with shareholders' long-term outcomes. This pattern of choosing financial discipline over market approval across multiple cycles is exceptional.</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INVESTMENT THESIS</w:t>
            </w:r>
          </w:p>
        </w:tc>
      </w:tr>
    </w:tbl>
    <w:p>
      <w:pPr>
        <w:spacing w:after="120"/>
      </w:pPr>
      <w:r>
        <w:rPr>
          <w:rFonts w:ascii="Calibri" w:hAnsi="Calibri"/>
          <w:b w:val="0"/>
          <w:color w:val="3A4A28"/>
          <w:sz w:val="20"/>
        </w:rPr>
        <w:t>Kinder Morgan delivered a record Q2 2026 with revenue of $4.48B (+10.8% YoY), record net income of $867M, and record adjusted EBITDA of $2.2B (+12% YoY) [1]. EPS of $0.39 (+22% YoY) and adjusted EPS of $0.37 (+32% YoY) both exceeded consensus. Management raised full-year 2026 guidance for the second consecutive quarter — adjusted EBITDA at least 5% above budget and adjusted EPS at least 12% above budget. KMI benefits from a powerful secular tailwind: AI data centers are driving significant new natural gas demand, with transport volumes up 7% and gathering volumes up 26% [1][2]. The asset base — 83,000 miles of pipelines transporting 40% of U.S. natural gas — is irreplaceable infrastructure protected by regulatory barriers and decades of capital investment. The balance sheet has been significantly delevered from $42B to ~$31B in net debt since the 2015 reset, and the dividend has been rebuilt from $0.50 to $1.18 with 9 consecutive years of growth. Inspire Impact Score of 30 (ALIGNED) supports faith-based allocation.</w:t>
      </w:r>
    </w:p>
    <w:p>
      <w:pPr>
        <w:spacing w:after="120"/>
      </w:pPr>
      <w:r>
        <w:rPr>
          <w:rFonts w:ascii="Calibri" w:hAnsi="Calibri"/>
          <w:b w:val="0"/>
          <w:color w:val="3A4A28"/>
          <w:sz w:val="20"/>
        </w:rPr>
        <w:t>The bear case centers on structural limitations and transition risk. ROE of 11.0% reflects the regulated-return nature of pipeline assets that constrains upside even during volume growth [4]. D/E of 98.6% remains elevated, and the 75.8% payout ratio limits dividend growth runway — 5yr dividend growth CAGR of just 2.2% trails inflation, eroding real income despite the 3.80% current yield [4]. The PEG ratio of 3.17 suggests the stock is expensive relative to its growth rate at 20x forward earnings. Revenue volatility from commodity price exposure creates valuation noise despite the fee-based model. Long-term energy transition risk persists: while natural gas is the current essential fuel for AI data centers, growing nuclear (SMRs), solar, and battery deployments could eventually reduce gas demand. The 2015 dividend cut — while ultimately validated — destroyed significant shareholder value and demonstrates the risk inherent in KMI's leverage-dependent operating model. Permitting and environmental challenges for new pipeline construction remain meaningful headwinds for the $10B+ expansion backlog.</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KEY CATALYSTS</w:t>
            </w:r>
          </w:p>
        </w:tc>
      </w:tr>
    </w:tbl>
    <w:p>
      <w:pPr>
        <w:spacing w:before="40" w:after="40"/>
        <w:ind w:left="283"/>
      </w:pPr>
      <w:r>
        <w:rPr>
          <w:rFonts w:ascii="Calibri" w:hAnsi="Calibri"/>
          <w:b/>
          <w:color w:val="4A6B25"/>
          <w:sz w:val="20"/>
        </w:rPr>
        <w:t xml:space="preserve">1. </w:t>
      </w:r>
      <w:r>
        <w:rPr>
          <w:rFonts w:ascii="Calibri" w:hAnsi="Calibri"/>
          <w:b w:val="0"/>
          <w:color w:val="3A4A28"/>
          <w:sz w:val="20"/>
        </w:rPr>
        <w:t>AI data center buildout driving secular natural gas demand growth, with Q2 2026 transport volumes up 7% YoY and gathering volumes up 26%, supported by a record $10B+ project backlog for expansion capacity [1]</w:t>
      </w:r>
    </w:p>
    <w:p>
      <w:pPr>
        <w:spacing w:before="40" w:after="40"/>
        <w:ind w:left="283"/>
      </w:pPr>
      <w:r>
        <w:rPr>
          <w:rFonts w:ascii="Calibri" w:hAnsi="Calibri"/>
          <w:b/>
          <w:color w:val="4A6B25"/>
          <w:sz w:val="20"/>
        </w:rPr>
        <w:t xml:space="preserve">2. </w:t>
      </w:r>
      <w:r>
        <w:rPr>
          <w:rFonts w:ascii="Calibri" w:hAnsi="Calibri"/>
          <w:b w:val="0"/>
          <w:color w:val="3A4A28"/>
          <w:sz w:val="20"/>
        </w:rPr>
        <w:t>LNG export capacity expansion along the Gulf Coast increasing demand for KMI's Haynesville and Permian Basin gathering and transport networks, with management citing 'significant new natural gas demand from AI, data centers, and re-shoring' [2]</w:t>
      </w:r>
    </w:p>
    <w:p>
      <w:pPr>
        <w:spacing w:before="40" w:after="40"/>
        <w:ind w:left="283"/>
      </w:pPr>
      <w:r>
        <w:rPr>
          <w:rFonts w:ascii="Calibri" w:hAnsi="Calibri"/>
          <w:b/>
          <w:color w:val="4A6B25"/>
          <w:sz w:val="20"/>
        </w:rPr>
        <w:t xml:space="preserve">3. </w:t>
      </w:r>
      <w:r>
        <w:rPr>
          <w:rFonts w:ascii="Calibri" w:hAnsi="Calibri"/>
          <w:b w:val="0"/>
          <w:color w:val="3A4A28"/>
          <w:sz w:val="20"/>
        </w:rPr>
        <w:t>Continued deleveraging and earnings momentum with management raising guidance for the second consecutive quarter, targeting at least 5% above EBITDA budget and 12% above EPS budget for full-year 2026 [1]</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DC2626"/>
            </w:tcBorders>
          </w:tcPr>
          <w:p>
            <w:pPr>
              <w:spacing w:before="240" w:after="80"/>
            </w:pPr>
            <w:r>
              <w:rPr>
                <w:rFonts w:ascii="Calibri" w:hAnsi="Calibri"/>
                <w:b/>
                <w:color w:val="6E8450"/>
                <w:sz w:val="17"/>
              </w:rPr>
              <w:t>KEY RISKS</w:t>
            </w:r>
          </w:p>
        </w:tc>
      </w:tr>
    </w:tbl>
    <w:p>
      <w:pPr>
        <w:spacing w:before="40" w:after="40"/>
        <w:ind w:left="283"/>
      </w:pPr>
      <w:r>
        <w:rPr>
          <w:rFonts w:ascii="Calibri" w:hAnsi="Calibri"/>
          <w:b/>
          <w:color w:val="4A6B25"/>
          <w:sz w:val="20"/>
        </w:rPr>
        <w:t xml:space="preserve">1. </w:t>
      </w:r>
      <w:r>
        <w:rPr>
          <w:rFonts w:ascii="Calibri" w:hAnsi="Calibri"/>
          <w:b w:val="0"/>
          <w:color w:val="3A4A28"/>
          <w:sz w:val="20"/>
        </w:rPr>
        <w:t>Energy transition risk as growing nuclear SMR deployments, solar, and battery storage could reduce long-term natural gas demand, particularly if AI data center operators shift to renewable and nuclear baseload power sources</w:t>
      </w:r>
    </w:p>
    <w:p>
      <w:pPr>
        <w:spacing w:before="40" w:after="40"/>
        <w:ind w:left="283"/>
      </w:pPr>
      <w:r>
        <w:rPr>
          <w:rFonts w:ascii="Calibri" w:hAnsi="Calibri"/>
          <w:b/>
          <w:color w:val="4A6B25"/>
          <w:sz w:val="20"/>
        </w:rPr>
        <w:t xml:space="preserve">2. </w:t>
      </w:r>
      <w:r>
        <w:rPr>
          <w:rFonts w:ascii="Calibri" w:hAnsi="Calibri"/>
          <w:b w:val="0"/>
          <w:color w:val="3A4A28"/>
          <w:sz w:val="20"/>
        </w:rPr>
        <w:t>Elevated D/E of 98.6% and 75.8% payout ratio constrain financial flexibility — any downturn in natural gas volumes or commodity-linked revenue could pressure dividend coverage, and 5yr dividend growth CAGR of 2.2% already trails inflation [4]</w:t>
      </w:r>
    </w:p>
    <w:p>
      <w:pPr>
        <w:spacing w:before="40" w:after="40"/>
        <w:ind w:left="283"/>
      </w:pPr>
      <w:r>
        <w:rPr>
          <w:rFonts w:ascii="Calibri" w:hAnsi="Calibri"/>
          <w:b/>
          <w:color w:val="4A6B25"/>
          <w:sz w:val="20"/>
        </w:rPr>
        <w:t xml:space="preserve">3. </w:t>
      </w:r>
      <w:r>
        <w:rPr>
          <w:rFonts w:ascii="Calibri" w:hAnsi="Calibri"/>
          <w:b w:val="0"/>
          <w:color w:val="3A4A28"/>
          <w:sz w:val="20"/>
        </w:rPr>
        <w:t>Permitting and environmental regulatory headwinds for new pipeline construction could delay the $10B+ project backlog, limiting the volume growth trajectory and deferring revenue from capacity expansion projects critical to AI data center demand [3]</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AI RESILIENCE (25%)</w:t>
            </w:r>
          </w:p>
        </w:tc>
      </w:tr>
    </w:tbl>
    <w:p>
      <w:pPr>
        <w:spacing w:before="200" w:after="40"/>
      </w:pPr>
      <w:r>
        <w:rPr>
          <w:rFonts w:ascii="Calibri" w:hAnsi="Calibri"/>
          <w:b/>
          <w:color w:val="1A2010"/>
          <w:sz w:val="22"/>
        </w:rPr>
        <w:t>AI Resilience</w:t>
      </w:r>
      <w:r>
        <w:rPr>
          <w:rFonts w:ascii="Calibri" w:hAnsi="Calibri"/>
          <w:b w:val="0"/>
          <w:color w:val="1A2010"/>
          <w:sz w:val="22"/>
        </w:rPr>
        <w:t xml:space="preserve">  </w:t>
      </w:r>
      <w:r>
        <w:rPr>
          <w:rFonts w:ascii="Calibri" w:hAnsi="Calibri"/>
          <w:b/>
          <w:color w:val="16A34A"/>
          <w:sz w:val="16"/>
        </w:rPr>
        <w:t xml:space="preserve"> LOW RISK </w:t>
      </w:r>
    </w:p>
    <w:p>
      <w:pPr>
        <w:spacing w:before="0" w:after="40"/>
      </w:pPr>
      <w:r>
        <w:rPr>
          <w:rFonts w:ascii="Calibri" w:hAnsi="Calibri"/>
          <w:b/>
          <w:color w:val="16A34A"/>
          <w:sz w:val="28"/>
        </w:rPr>
        <w:t>8</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4409"/>
            <w:shd w:fill="16A34A" w:val="clear"/>
          </w:tcPr>
          <w:p>
            <w:pPr>
              <w:spacing w:before="0" w:after="0"/>
            </w:pPr>
            <w:r>
              <w:rPr>
                <w:rFonts w:ascii="Calibri" w:hAnsi="Calibri"/>
                <w:b w:val="0"/>
                <w:color w:val="1A2010"/>
                <w:sz w:val="4"/>
              </w:rPr>
            </w:r>
          </w:p>
        </w:tc>
        <w:tc>
          <w:tcPr>
            <w:tcW w:type="dxa" w:w="1102"/>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AI Risk Protection (8/9): Kinder Morgan's core business — owning and operating 83,000 miles of physical pipelines, 141 terminals, and 700 BCF of natural gas storage — is structurally immune to AI disruption [2]. AI cannot replace pipelines that physically transport natural gas, and the permitting, right-of-way, and capital barriers to building competing infrastructure are insurmountable. More significantly, AI is directly increasing demand for KMI's services: AI data centers require massive electricity, and natural gas power generation is the primary baseload and peaking source for these facilities [2]. Executive Chairman Richard Kinder and CEO Kim Dang explicitly cite 'significant new natural gas demand emerging from AI operations, data centers, and broader re-shoring' as a core growth driver [1][2]. Natural gas transport volumes rose 7% YoY with gathering volumes up 26% in Q2 2026 [1]. Every new AI data center increases demand for KMI's pipeline capacity. AI Opportunity (0/1): KMI does not sell AI products or services externally. The AI demand tailwind benefits the company through increased pipeline utilization and expansion project economics, but this is organic demand growth for energy infrastructure, not AI-related revenue in the rubric sense.</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FAITH ALIGNMENT — INSPIRE INSIGHT</w:t>
            </w:r>
          </w:p>
        </w:tc>
      </w:tr>
    </w:tbl>
    <w:p>
      <w:pPr>
        <w:spacing w:after="40"/>
      </w:pPr>
      <w:r>
        <w:rPr>
          <w:rFonts w:ascii="Calibri" w:hAnsi="Calibri"/>
          <w:b w:val="0"/>
          <w:color w:val="6E8450"/>
          <w:sz w:val="22"/>
        </w:rPr>
        <w:t xml:space="preserve">Inspire Impact Score:  </w:t>
      </w:r>
      <w:r>
        <w:rPr>
          <w:rFonts w:ascii="Calibri" w:hAnsi="Calibri"/>
          <w:b/>
          <w:color w:val="16A34A"/>
          <w:sz w:val="28"/>
        </w:rPr>
        <w:t>30</w:t>
      </w:r>
      <w:r>
        <w:rPr>
          <w:rFonts w:ascii="Calibri" w:hAnsi="Calibri"/>
          <w:b/>
          <w:color w:val="B8860B"/>
          <w:sz w:val="20"/>
        </w:rPr>
        <w:t xml:space="preserve">    ALIGNED</w:t>
      </w:r>
    </w:p>
    <w:p>
      <w:pPr>
        <w:spacing w:before="80" w:after="40"/>
      </w:pPr>
      <w:r>
        <w:rPr>
          <w:rFonts w:ascii="Calibri" w:hAnsi="Calibri"/>
          <w:b/>
          <w:color w:val="6E8450"/>
          <w:sz w:val="18"/>
        </w:rPr>
        <w:t xml:space="preserve">Positive: </w:t>
      </w:r>
      <w:r>
        <w:rPr>
          <w:rFonts w:ascii="Calibri" w:hAnsi="Calibri"/>
          <w:b/>
          <w:color w:val="16A34A"/>
          <w:sz w:val="17"/>
        </w:rPr>
        <w:t xml:space="preserve"> Business Resilience </w:t>
      </w:r>
      <w:r>
        <w:rPr>
          <w:rFonts w:ascii="Calibri" w:hAnsi="Calibri"/>
          <w:b w:val="0"/>
          <w:color w:val="9DAF88"/>
          <w:sz w:val="17"/>
        </w:rPr>
        <w:t xml:space="preserve">  ·  </w:t>
      </w:r>
      <w:r>
        <w:rPr>
          <w:rFonts w:ascii="Calibri" w:hAnsi="Calibri"/>
          <w:b/>
          <w:color w:val="16A34A"/>
          <w:sz w:val="17"/>
        </w:rPr>
        <w:t xml:space="preserve"> Customer Privacy </w:t>
      </w:r>
      <w:r>
        <w:rPr>
          <w:rFonts w:ascii="Calibri" w:hAnsi="Calibri"/>
          <w:b w:val="0"/>
          <w:color w:val="9DAF88"/>
          <w:sz w:val="17"/>
        </w:rPr>
        <w:t xml:space="preserve">  ·  </w:t>
      </w:r>
      <w:r>
        <w:rPr>
          <w:rFonts w:ascii="Calibri" w:hAnsi="Calibri"/>
          <w:b/>
          <w:color w:val="16A34A"/>
          <w:sz w:val="17"/>
        </w:rPr>
        <w:t xml:space="preserve"> Customer Welfare </w:t>
      </w:r>
      <w:r>
        <w:rPr>
          <w:rFonts w:ascii="Calibri" w:hAnsi="Calibri"/>
          <w:b w:val="0"/>
          <w:color w:val="9DAF88"/>
          <w:sz w:val="17"/>
        </w:rPr>
        <w:t xml:space="preserve">  ·  </w:t>
      </w:r>
      <w:r>
        <w:rPr>
          <w:rFonts w:ascii="Calibri" w:hAnsi="Calibri"/>
          <w:b/>
          <w:color w:val="16A34A"/>
          <w:sz w:val="17"/>
        </w:rPr>
        <w:t xml:space="preserve"> Energy Management </w:t>
      </w:r>
      <w:r>
        <w:rPr>
          <w:rFonts w:ascii="Calibri" w:hAnsi="Calibri"/>
          <w:b w:val="0"/>
          <w:color w:val="9DAF88"/>
          <w:sz w:val="17"/>
        </w:rPr>
        <w:t xml:space="preserve">  ·  </w:t>
      </w:r>
      <w:r>
        <w:rPr>
          <w:rFonts w:ascii="Calibri" w:hAnsi="Calibri"/>
          <w:b/>
          <w:color w:val="16A34A"/>
          <w:sz w:val="17"/>
        </w:rPr>
        <w:t xml:space="preserve"> Ethical Supply Chain Management </w:t>
      </w:r>
      <w:r>
        <w:rPr>
          <w:rFonts w:ascii="Calibri" w:hAnsi="Calibri"/>
          <w:b w:val="0"/>
          <w:color w:val="9DAF88"/>
          <w:sz w:val="17"/>
        </w:rPr>
        <w:t xml:space="preserve">  ·  </w:t>
      </w:r>
      <w:r>
        <w:rPr>
          <w:rFonts w:ascii="Calibri" w:hAnsi="Calibri"/>
          <w:b/>
          <w:color w:val="16A34A"/>
          <w:sz w:val="17"/>
        </w:rPr>
        <w:t xml:space="preserve"> GHG Emissions </w:t>
      </w:r>
      <w:r>
        <w:rPr>
          <w:rFonts w:ascii="Calibri" w:hAnsi="Calibri"/>
          <w:b w:val="0"/>
          <w:color w:val="9DAF88"/>
          <w:sz w:val="17"/>
        </w:rPr>
        <w:t xml:space="preserve">  ·  </w:t>
      </w:r>
      <w:r>
        <w:rPr>
          <w:rFonts w:ascii="Calibri" w:hAnsi="Calibri"/>
          <w:b/>
          <w:color w:val="16A34A"/>
          <w:sz w:val="17"/>
        </w:rPr>
        <w:t xml:space="preserve"> Hiring Ethics </w:t>
      </w:r>
      <w:r>
        <w:rPr>
          <w:rFonts w:ascii="Calibri" w:hAnsi="Calibri"/>
          <w:b w:val="0"/>
          <w:color w:val="9DAF88"/>
          <w:sz w:val="17"/>
        </w:rPr>
        <w:t xml:space="preserve">  ·  </w:t>
      </w:r>
      <w:r>
        <w:rPr>
          <w:rFonts w:ascii="Calibri" w:hAnsi="Calibri"/>
          <w:b/>
          <w:color w:val="16A34A"/>
          <w:sz w:val="17"/>
        </w:rPr>
        <w:t xml:space="preserve"> Materials Efficiency </w:t>
      </w:r>
      <w:r>
        <w:rPr>
          <w:rFonts w:ascii="Calibri" w:hAnsi="Calibri"/>
          <w:b w:val="0"/>
          <w:color w:val="9DAF88"/>
          <w:sz w:val="17"/>
        </w:rPr>
        <w:t xml:space="preserve">  ·  </w:t>
      </w:r>
      <w:r>
        <w:rPr>
          <w:rFonts w:ascii="Calibri" w:hAnsi="Calibri"/>
          <w:b/>
          <w:color w:val="16A34A"/>
          <w:sz w:val="17"/>
        </w:rPr>
        <w:t xml:space="preserve"> Product Sustainability </w:t>
      </w:r>
      <w:r>
        <w:rPr>
          <w:rFonts w:ascii="Calibri" w:hAnsi="Calibri"/>
          <w:b w:val="0"/>
          <w:color w:val="9DAF88"/>
          <w:sz w:val="17"/>
        </w:rPr>
        <w:t xml:space="preserve">  ·  </w:t>
      </w:r>
      <w:r>
        <w:rPr>
          <w:rFonts w:ascii="Calibri" w:hAnsi="Calibri"/>
          <w:b/>
          <w:color w:val="16A34A"/>
          <w:sz w:val="17"/>
        </w:rPr>
        <w:t xml:space="preserve"> Regulatory Adherence </w:t>
      </w:r>
    </w:p>
    <w:p>
      <w:pPr>
        <w:spacing w:before="120"/>
      </w:pPr>
      <w:r>
        <w:rPr>
          <w:rFonts w:ascii="Calibri" w:hAnsi="Calibri"/>
          <w:b w:val="0"/>
          <w:color w:val="9DAF88"/>
          <w:sz w:val="15"/>
        </w:rPr>
        <w:t>Source: Inspire Insight</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RESOURCES</w:t>
            </w:r>
          </w:p>
        </w:tc>
      </w:tr>
    </w:tbl>
    <w:p>
      <w:pPr>
        <w:spacing w:before="20" w:after="20"/>
        <w:ind w:left="170"/>
      </w:pPr>
      <w:r>
        <w:rPr>
          <w:rFonts w:ascii="Calibri" w:hAnsi="Calibri"/>
          <w:b/>
          <w:color w:val="4A6B25"/>
          <w:sz w:val="15"/>
        </w:rPr>
        <w:t xml:space="preserve">1. </w:t>
      </w:r>
      <w:r>
        <w:rPr>
          <w:rFonts w:ascii="Calibri" w:hAnsi="Calibri"/>
          <w:b w:val="0"/>
          <w:color w:val="3A4A28"/>
          <w:sz w:val="17"/>
        </w:rPr>
        <w:t>Kinder Morgan Q2 2026 Earnings Release — Record Revenue $4.48B (+10.8% YoY), Record Net Income $867M, Record Adj EBITDA $2.2B (+12%), EPS $0.39 (+22%), Adj EPS $0.37 (+32%), Guidance Raised, Transport Volumes +7%, Gathering +26%, July 2026</w:t>
      </w:r>
    </w:p>
    <w:p>
      <w:pPr>
        <w:spacing w:before="20" w:after="20"/>
        <w:ind w:left="170"/>
      </w:pPr>
      <w:r>
        <w:rPr>
          <w:rFonts w:ascii="Calibri" w:hAnsi="Calibri"/>
          <w:b/>
          <w:color w:val="4A6B25"/>
          <w:sz w:val="15"/>
        </w:rPr>
        <w:t xml:space="preserve">2. </w:t>
      </w:r>
      <w:r>
        <w:rPr>
          <w:rFonts w:ascii="Calibri" w:hAnsi="Calibri"/>
          <w:b w:val="0"/>
          <w:color w:val="3A4A28"/>
          <w:sz w:val="17"/>
        </w:rPr>
        <w:t>Kinder Morgan Leadership, AI Strategy, and Infrastructure — CEO Kim Dang, Executive Chairman Richard Kinder, $1 Salary, 40% U.S. Natural Gas Transport, AI Data Center Demand, Capital Discipline Philosophy — IMD, Klover.ai, KinderMorgan.com, 2025-2026</w:t>
      </w:r>
    </w:p>
    <w:p>
      <w:pPr>
        <w:spacing w:before="20" w:after="20"/>
        <w:ind w:left="170"/>
      </w:pPr>
      <w:r>
        <w:rPr>
          <w:rFonts w:ascii="Calibri" w:hAnsi="Calibri"/>
          <w:b/>
          <w:color w:val="4A6B25"/>
          <w:sz w:val="15"/>
        </w:rPr>
        <w:t xml:space="preserve">3. </w:t>
      </w:r>
      <w:r>
        <w:rPr>
          <w:rFonts w:ascii="Calibri" w:hAnsi="Calibri"/>
          <w:b w:val="0"/>
          <w:color w:val="3A4A28"/>
          <w:sz w:val="17"/>
        </w:rPr>
        <w:t>Kinder Morgan ESG Report — Scope 1 Emissions -2.6%, Methane Intensity Reduction, Renewable Natural Gas Platform, Community Engagement, Indigenous Peoples Policy — ir.kindermorgan.com, BusinessWire, 2022-2026</w:t>
      </w:r>
    </w:p>
    <w:p>
      <w:pPr>
        <w:spacing w:before="20" w:after="20"/>
        <w:ind w:left="170"/>
      </w:pPr>
      <w:r>
        <w:rPr>
          <w:rFonts w:ascii="Calibri" w:hAnsi="Calibri"/>
          <w:b/>
          <w:color w:val="4A6B25"/>
          <w:sz w:val="15"/>
        </w:rPr>
        <w:t xml:space="preserve">4. </w:t>
      </w:r>
      <w:r>
        <w:rPr>
          <w:rFonts w:ascii="Calibri" w:hAnsi="Calibri"/>
          <w:b w:val="0"/>
          <w:color w:val="3A4A28"/>
          <w:sz w:val="17"/>
        </w:rPr>
        <w:t>Yahoo Finance / StockAnalysis.com — KMI Key Statistics: PE 20.05, Forward PE 20.12, PEG 3.17, D/E 98.62%, ROE 10.99%, Profit Margin 19.31%, Dividend Yield 3.80%, Payout 75.81%, Stock Price $31.07, accessed October 2026</w:t>
      </w:r>
    </w:p>
    <w:p>
      <w:pPr>
        <w:spacing w:before="400"/>
        <w:jc w:val="center"/>
      </w:pPr>
      <w:r>
        <w:rPr>
          <w:rFonts w:ascii="Calibri" w:hAnsi="Calibri"/>
          <w:b w:val="0"/>
          <w:color w:val="9DAF88"/>
          <w:sz w:val="16"/>
        </w:rPr>
        <w:t>Paradiem, LLC dba Intentional Ownership (“IOWN”) is a registered investment advisor. The information provided is for educational and informational purposes only and does not constitute investment advice.</w:t>
      </w:r>
    </w:p>
    <w:sectPr w:rsidR="00FC693F" w:rsidRPr="0006063C" w:rsidSect="00034616">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