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KOS</w:t>
      </w:r>
      <w:r>
        <w:rPr>
          <w:rFonts w:ascii="Calibri" w:hAnsi="Calibri"/>
          <w:b/>
          <w:color w:val="1A2010"/>
          <w:sz w:val="40"/>
        </w:rPr>
        <w:t xml:space="preserve">  Kosmos Energy Ltd.</w:t>
      </w:r>
    </w:p>
    <w:p>
      <w:pPr>
        <w:spacing w:after="120"/>
      </w:pPr>
      <w:r>
        <w:rPr>
          <w:rFonts w:ascii="Calibri" w:hAnsi="Calibri"/>
          <w:b/>
          <w:color w:val="6E8450"/>
          <w:sz w:val="18"/>
        </w:rPr>
        <w:t>GROWTH SLEEVE · 2026-10-03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Kosmos Energy is a Dallas-based deepwater oil and gas E&amp;P focused on the Atlantic Margin, with production in Ghana (Jubilee, TEN), the U.S. Gulf of Mexico, and the Greater Tortue Ahmeyim (GTA) LNG project offshore Mauritania and Senegal. Q2 2026 oil and gas revenue was $607.3M (up 54.7% YoY) on net production of 71,400 boepd [1].</w:t>
      </w:r>
    </w:p>
    <w:p>
      <w:r>
        <w:rPr>
          <w:rFonts w:ascii="Calibri" w:hAnsi="Calibri"/>
          <w:b/>
          <w:color w:val="6E8450"/>
          <w:sz w:val="18"/>
        </w:rPr>
        <w:t>https://www.kosmosenergy.com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Kosmos brought GTA LNG online offshore Mauritania/Senegal and added new Jubilee wells, lifting Q1 2026 production to a record ~75,000 boepd (+25% YoY) [1]. AI Deployment (0/2): no AI products or quantified AI savings found. Market Share (1/2): meaningful Atlantic Margin deepwater player but not a category leader. Product Pipeline (1/2): GTA ramp and Jubilee infill drilling with 15% 2026 production growth guidance, but limited named next-generation projects [1]. R&amp;D Intensity (0/1): E&amp;P with no meaningful R&amp;D line.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Kosmos positions itself as a responsible deepwater explorer building shared prosperity in Africa; clear but typical of E&amp;P peers. Community Impact (1/2): EITI supporter, local community investments and flaring-elimination plan at Jubilee/TEN, but no distinctive dollar-quantified program found [2]. Employee Retention (0/2): Glassdoor shows 67% would recommend and 3.3/5 career opportunities, no tenure data [3]. Insider Buying (0/2): no insider buying evidence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(5yr CAGR and PEG unavailable and excluded). Revenue growth of 54.6% YoY (score 1.0) and forward P/E of 7.8 (score 1.0) are strong, but D/E of 391% (score 0.0), ROE of -63% (score 0.0, 2x weight) and profit margin of -34% (score 0.0) reflect a leveraged balance sheet and a Q1 2026 net loss of $225.6M driven by a $252M derivatives loss [1]. Dollar volume of ~$35M clears the liquidity floor. Weighted 2.0/6 yields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Kosmos acts as a project-driven E&amp;P whose purpose of building Atlantic Margin energy supply is real but not a multi-decade Just Cause. Management has taken on heavy leverage to bring GTA and Jubilee growth online, a long-cycle bet, yet balance-sheet strain and a derivatives-driven loss show financial pressure shaping decisions.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stated aim of responsible Atlantic Margin energy development is a purpose statement shared by many E&amp;Ps and is not evidently tested over decades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stable but unremarkable culture, 67% Glassdoor recommend rate and 3.7/5 for culture and values; CEO approval of 75/100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competitive language is about operator partnerships and asset share, with no evidence of a learn-from-rivals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evolved from West Africa oil explorer to include LNG and Gulf of Mexico production, incremental rather than transformative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Andy Inglis kept funding GTA LNG and Ghana drilling through the 2020 downturn and carries a debt-to-equity of 391% to do it, a long-term bet at real near-term cost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Kosmos at $2.51 trades at 7.8x forward earnings with Q2 2026 revenue of $607.3M (+54.7%), EPS of $0.31 versus a $0.18 loss a year ago, production expense down 26% to $179.4M, and analysts forecasting ~40% 2026 revenue growth as GTA LNG and new Jubilee wells ramp [1]. Record Q1 output of ~75,000 boepd and 15% guided production growth give operating leverage to oil prices if the balance sheet can be de-risked.</w:t>
      </w:r>
    </w:p>
    <w:p>
      <w:pPr>
        <w:spacing w:after="120"/>
      </w:pPr>
      <w:r>
        <w:rPr>
          <w:rFonts w:ascii="Calibri" w:hAnsi="Calibri"/>
          <w:b w:val="0"/>
          <w:color w:val="3A4A28"/>
          <w:sz w:val="20"/>
        </w:rPr>
        <w:t>The bear case is leverage and earnings quality: D/E of 391%, ROE of -63%, and a TTM profit margin of -34%, with Q1 2026 showing a $225.6M net loss on a $252M derivatives loss [1]. Q2 production slipped to 71,400 boepd from ~75,000 in Q1, and exploration write-offs and commodity swings can quickly erase free cash flow. Environmental activism against offshore drilling remains a regulatory and financing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GTA LNG ramp and new Jubilee wells lifting production 15% in 2026 with revenue forecast +40% [1]</w:t>
      </w:r>
    </w:p>
    <w:p>
      <w:pPr>
        <w:spacing w:before="40" w:after="40"/>
        <w:ind w:left="283"/>
      </w:pPr>
      <w:r>
        <w:rPr>
          <w:rFonts w:ascii="Calibri" w:hAnsi="Calibri"/>
          <w:b/>
          <w:color w:val="4A6B25"/>
          <w:sz w:val="20"/>
        </w:rPr>
        <w:t xml:space="preserve">2. </w:t>
      </w:r>
      <w:r>
        <w:rPr>
          <w:rFonts w:ascii="Calibri" w:hAnsi="Calibri"/>
          <w:b w:val="0"/>
          <w:color w:val="3A4A28"/>
          <w:sz w:val="20"/>
        </w:rPr>
        <w:t>Q2 2026 production expense down 26% to $179.4M, supporting free cash flow for debt reduction [1]</w:t>
      </w:r>
    </w:p>
    <w:p>
      <w:pPr>
        <w:spacing w:before="40" w:after="40"/>
        <w:ind w:left="283"/>
      </w:pPr>
      <w:r>
        <w:rPr>
          <w:rFonts w:ascii="Calibri" w:hAnsi="Calibri"/>
          <w:b/>
          <w:color w:val="4A6B25"/>
          <w:sz w:val="20"/>
        </w:rPr>
        <w:t xml:space="preserve">3. </w:t>
      </w:r>
      <w:r>
        <w:rPr>
          <w:rFonts w:ascii="Calibri" w:hAnsi="Calibri"/>
          <w:b w:val="0"/>
          <w:color w:val="3A4A28"/>
          <w:sz w:val="20"/>
        </w:rPr>
        <w:t>Elevated oil prices lifting realized revenue, as seen in 54.7% YoY Q2 revenue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Leverage with D/E of 391% and negative ROE of -63% limits flexibility if oil prices fall [1]</w:t>
      </w:r>
    </w:p>
    <w:p>
      <w:pPr>
        <w:spacing w:before="40" w:after="40"/>
        <w:ind w:left="283"/>
      </w:pPr>
      <w:r>
        <w:rPr>
          <w:rFonts w:ascii="Calibri" w:hAnsi="Calibri"/>
          <w:b/>
          <w:color w:val="4A6B25"/>
          <w:sz w:val="20"/>
        </w:rPr>
        <w:t xml:space="preserve">2. </w:t>
      </w:r>
      <w:r>
        <w:rPr>
          <w:rFonts w:ascii="Calibri" w:hAnsi="Calibri"/>
          <w:b w:val="0"/>
          <w:color w:val="3A4A28"/>
          <w:sz w:val="20"/>
        </w:rPr>
        <w:t>Derivatives losses ($252M in Q1 2026) can swamp operating results [1]</w:t>
      </w:r>
    </w:p>
    <w:p>
      <w:pPr>
        <w:spacing w:before="40" w:after="40"/>
        <w:ind w:left="283"/>
      </w:pPr>
      <w:r>
        <w:rPr>
          <w:rFonts w:ascii="Calibri" w:hAnsi="Calibri"/>
          <w:b/>
          <w:color w:val="4A6B25"/>
          <w:sz w:val="20"/>
        </w:rPr>
        <w:t xml:space="preserve">3. </w:t>
      </w:r>
      <w:r>
        <w:rPr>
          <w:rFonts w:ascii="Calibri" w:hAnsi="Calibri"/>
          <w:b w:val="0"/>
          <w:color w:val="3A4A28"/>
          <w:sz w:val="20"/>
        </w:rPr>
        <w:t>Offshore environmental activism and concentration in Ghana, Mauritania and Senegal create regulatory and country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offshore oil and LNG production is physical-world, capital-intensive, and not substitutable by AI; analysts do not flag AI as a risk to Kosmos earnings, and commodity prices and project execution are the real drivers [1]. AI Opportunity (0/1): no quantified AI revenue; AI data-center power demand supports gas/LNG only indirectly.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Kosmos Energy Q1/Q2 2026 Results — Investing.com, StockTitan, Energies Media, Tradingkey, 2026</w:t>
      </w:r>
    </w:p>
    <w:p>
      <w:pPr>
        <w:spacing w:before="20" w:after="20"/>
        <w:ind w:left="170"/>
      </w:pPr>
      <w:r>
        <w:rPr>
          <w:rFonts w:ascii="Calibri" w:hAnsi="Calibri"/>
          <w:b/>
          <w:color w:val="4A6B25"/>
          <w:sz w:val="15"/>
        </w:rPr>
        <w:t xml:space="preserve">2. </w:t>
      </w:r>
      <w:r>
        <w:rPr>
          <w:rFonts w:ascii="Calibri" w:hAnsi="Calibri"/>
          <w:b w:val="0"/>
          <w:color w:val="3A4A28"/>
          <w:sz w:val="17"/>
        </w:rPr>
        <w:t>Kosmos Energy ESG — Sustainalytics low controversy level, EITI, Yahoo Finance sustainability, 10-K filed 2026</w:t>
      </w:r>
    </w:p>
    <w:p>
      <w:pPr>
        <w:spacing w:before="20" w:after="20"/>
        <w:ind w:left="170"/>
      </w:pPr>
      <w:r>
        <w:rPr>
          <w:rFonts w:ascii="Calibri" w:hAnsi="Calibri"/>
          <w:b/>
          <w:color w:val="4A6B25"/>
          <w:sz w:val="15"/>
        </w:rPr>
        <w:t xml:space="preserve">3. </w:t>
      </w:r>
      <w:r>
        <w:rPr>
          <w:rFonts w:ascii="Calibri" w:hAnsi="Calibri"/>
          <w:b w:val="0"/>
          <w:color w:val="3A4A28"/>
          <w:sz w:val="17"/>
        </w:rPr>
        <w:t>Kosmos Energy Glassdoor and Comparably — CEO rating 75/100, 67% recommend,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