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KREF</w:t>
      </w:r>
      <w:r>
        <w:rPr>
          <w:rFonts w:ascii="Calibri" w:hAnsi="Calibri"/>
          <w:b/>
          <w:color w:val="1A2010"/>
          <w:sz w:val="40"/>
        </w:rPr>
        <w:t xml:space="preserve">  KKR Real Estate Finance Trust Inc.</w:t>
      </w:r>
    </w:p>
    <w:p>
      <w:pPr>
        <w:spacing w:after="120"/>
      </w:pPr>
      <w:r>
        <w:rPr>
          <w:rFonts w:ascii="Calibri" w:hAnsi="Calibri"/>
          <w:b/>
          <w:color w:val="6E8450"/>
          <w:sz w:val="18"/>
        </w:rPr>
        <w:t>DIVIDEND SLEEVE · 2026-09-24 · Inspire: 32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Mortgage · NYSE · United States</w:t>
      </w:r>
    </w:p>
    <w:p>
      <w:pPr>
        <w:spacing w:after="80"/>
      </w:pPr>
      <w:r>
        <w:rPr>
          <w:rFonts w:ascii="Calibri" w:hAnsi="Calibri"/>
          <w:b w:val="0"/>
          <w:color w:val="3A4A28"/>
          <w:sz w:val="20"/>
        </w:rPr>
        <w:t>KKR Real Estate Finance Trust is a mortgage REIT that originates and acquires transitional senior loans secured by commercial real estate assets in the United States. Externally managed by an affiliate of KKR &amp; Co. Inc., KREF focuses on transitional lending — financing properties being acquired, refinanced, or repositioned. The company has elected REIT status and distributes at least 90% of taxable income. KREF is navigating significant credit deterioration in its commercial real estate loan portfolio, reporting a $122M GAAP loss in Q2 2026 ($1.95/share) and a distributable loss of $0.58/share. Market cap of approximately $355M.</w:t>
      </w:r>
    </w:p>
    <w:p>
      <w:r>
        <w:rPr>
          <w:rFonts w:ascii="Calibri" w:hAnsi="Calibri"/>
          <w:b/>
          <w:color w:val="6E8450"/>
          <w:sz w:val="18"/>
        </w:rPr>
        <w:t>https://www.kkrreit.com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(0/3): No meaningful product launches, business model transformations, or strategic pivots in the last 5 years. KREF has operated the same transitional CRE lending model since its 2017 IPO, and recent performance reflects credit deterioration rather than innovation — revenue declined from $175M (2023) to $113M (2025), with TTM revenue turning negative at -$72M due to loan losses [1][4]. AI Deployment (0/2): No AI products deployed. As an externally managed vehicle, KREF relies on KKR's broader platform for technology and analytics, but does not independently deploy AI with measurable results. Market Share (1/2): KREF benefits from KKR's brand, relationships, and sourcing capabilities as one of the larger publicly-traded mortgage REITs managed by a top-tier alternative asset manager [3]. The KKR platform provides a meaningful competitive advantage in deal sourcing and underwriting. However, the $355M market cap is small relative to peers like Blackstone Mortgage Trust ($2.5B+) and Starwood Property Trust ($5B+). Product Pipeline (0/2): No pipeline visibility for new products or growth initiatives. CEO Matt Salem has stated focus is on de-risking through $2B+ in expected 2026 repayments to bring leverage back to target, not growth [1]. R&amp;D Intensity (0/1): Not applicable — KREF is a lending vehicle with no R&amp;D function.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KKR's 'One-Firm' culture and 40-year investment history provide a generic financial services mission of 'leadership, innovation and investment excellence' [3]. However, KREF itself does not articulate a distinctive purpose beyond generating returns for shareholders through CRE lending. This is a financial product, not a purpose-driven organization. Community Impact (0/2): No evidence of KREF-specific charitable giving, community investment, or philanthropic programs. KKR broadly is a PRI signatory and partners with the Environmental Defense Fund, but these are parent-level activities not attributable to KREF specifically. Employee Retention (0/2): KREF is externally managed by KKR and has no direct employees. There is no internal organizational culture to evaluate. The management team (Matt Salem, Christen Lee, Pat Mattson) averages 17+ years of CRE experience, suggesting professional stability at the leadership level [3]. Insider Buying (0/2): No evidence of meaningful net insider buying by KREF's externally managed leadership team.</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KREF's financial profile is deeply distressed: D/E of 435.8% (floor-level leverage typical of mortgage REITs but well above the 300% floor), ROE of -16.5% (negative, at floor), and profit margin at 0% (at floor) [4]. Forward P/E of 55.1x reflects minimal forward earnings expectations ($0.11 EPS) and scores just above floor. Revenue growth is excluded as unavailable (TTM revenue is negative at -$72M). The only positive metric is consecutive years of dividend payments — 10 years since the 2017 IPO — scoring well with 2x weighting. However, dividend growth metrics are catastrophic: the dividend has been cut from $1.72/yr (2023) to $0.40/yr (2026 annualized rate), with the most recent Q2 2026 payment reduced to $0.10/quarter from $0.25/quarter, representing a 77% cumulative reduction [4]. Consecutive years of dividend growth = 0, and 5-year dividend growth CAGR is deeply negative (~-25%). Liquidity is adequate at ~$5.8M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KREF operates with a finite mindset by design — it is an externally managed lending vehicle created to generate returns for shareholders through CRE transitional loans. There is no Just Cause, no internal organizational culture (it has no employees), and strategic decisions are driven by credit risk management and leverage optimization rather than long-term purpose. CEO Matt Salem's focus on 'positioning for greater stability' and managing through 'the most significant book value impact' reflects crisis management, not infinite game thinking. The 77% dividend cut from $1.72/yr to $0.40/yr is the clearest signal of finite-game optimization — distributing capital when available and cutting when it's not.</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KREF has no Just Cause. It exists as a REIT lending vehicle to generate returns for shareholders through transitional CRE loans. There is no articulated vision of a better future, no purpose beyond financial performance, and no organizational identity that transcends its balance sheet [3]. Sinek would classify this as a financial instrument, not an organization with infinite game potential. The purpose is maximizing shareholder value — the textbook definition of a finite game objective.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KREF is externally managed by KKR and has no direct employees, making traditional trust assessment impossible. However, the KKR management team (Salem, Lee, Mattson) averages 17+ years of CRE experience and has remained stable through the credit downturn [3]. KKR's 'One-Firm' culture provides an organizational framework. The consistency of the management team during a period of significant losses ($122M in Q2 2026 alone) suggests professional stability, though this reflects KKR's management agreement rather than organic team trust.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KREF competes against Blackstone Mortgage Trust, Starwood Property Trust, and other mortgage REITs, but does not publicly acknowledge competitors' strengths or use competitive dynamics for self-improvement. Competitive positioning relies on KKR's platform advantages rather than a learning-oriented competitive posture.</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KREF has not demonstrated strategic flexibility. The company has operated the same transitional CRE lending model since inception in 2014 and is currently managing through credit deterioration rather than strategically pivoting. CEO Salem's commentary about expecting $2B+ in repayments to reduce leverage represents defensive de-risking, not proactive business model evolution [1]. The external management structure limits KREF's ability to make transformative strategic shifts.</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leadership making costly long-term bets. KREF's management has overseen a 77% dividend cut (from $0.43/quarter to $0.10/quarter) and $122M in quarterly losses, with strategic focus on de-risking and leverage reduction [1]. These are reactive crisis management decisions, not courageous investments in future capability. The external management structure means KKR's managers receive fees regardless of performance, which misaligns incentive structures with courageous long-term decision-making.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KREF trades at $6.06 with a 6.6% dividend yield, backed by KKR's institutional platform and 17+ years of management team CRE experience [3]. CEO Matt Salem has stated that 'the most significant book value impact is now behind us,' suggesting the worst of the credit deterioration may be past [1]. The expectation of $2B+ in 2026 repayments should reduce leverage toward target levels, and Q2 2026 revenue of $28.72M beat the $24.95M forecast by 15%. The Inspire Impact Score of 32 (ALIGNED) may appeal to faith-based income investors seeking CRE exposure through a KKR-managed vehicle. If the commercial real estate lending market stabilizes, KREF's discounted book value could provide upside recovery potential.</w:t>
      </w:r>
    </w:p>
    <w:p>
      <w:pPr>
        <w:spacing w:after="120"/>
      </w:pPr>
      <w:r>
        <w:rPr>
          <w:rFonts w:ascii="Calibri" w:hAnsi="Calibri"/>
          <w:b w:val="0"/>
          <w:color w:val="3A4A28"/>
          <w:sz w:val="20"/>
        </w:rPr>
        <w:t>The bear case is dominant. KREF reported a $122M GAAP loss in Q2 2026 ($1.95/share) with a distributable loss of $0.58/share, following a Q1 2026 loss that was described as 'deeper' with 'rising credit reserves' [1][2]. The dividend has been cut 77% from $0.43/quarter (2023) to $0.10/quarter (Q2 2026), and the payout ratio of 588% on GAAP earnings is unsustainable — the current $0.40 annual dividend may face further cuts if credit deterioration continues [4]. D/E of 435.8% reflects the extreme leverage inherent in mortgage REITs but creates existential risk if asset values decline further. ROE of -16.5%, negative TTM revenue of -$72M, and forward EPS of just $0.11 indicate a company that is destroying book value, not creating it. The 2026 full-year outlook calls for losses of $0.98/share, worsening from previous estimates of $0.88/share. The stock has declined 37% from its 52-week high of $9.60, and the external management fee structure means KKR earns management fees regardless of KREF's performance, creating misaligned incentives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Expected $2B+ in loan repayments in 2026 should reduce leverage back toward KREF's target range, potentially stabilizing book value and restoring distributable earnings positive territory [1]</w:t>
      </w:r>
    </w:p>
    <w:p>
      <w:pPr>
        <w:spacing w:before="40" w:after="40"/>
        <w:ind w:left="283"/>
      </w:pPr>
      <w:r>
        <w:rPr>
          <w:rFonts w:ascii="Calibri" w:hAnsi="Calibri"/>
          <w:b/>
          <w:color w:val="4A6B25"/>
          <w:sz w:val="20"/>
        </w:rPr>
        <w:t xml:space="preserve">2. </w:t>
      </w:r>
      <w:r>
        <w:rPr>
          <w:rFonts w:ascii="Calibri" w:hAnsi="Calibri"/>
          <w:b w:val="0"/>
          <w:color w:val="3A4A28"/>
          <w:sz w:val="20"/>
        </w:rPr>
        <w:t>CEO Salem's statement that 'the most significant book value impact is now behind us' suggests credit reserve building may be peaking, with potential for future reserve releases if CRE conditions improve [1]</w:t>
      </w:r>
    </w:p>
    <w:p>
      <w:pPr>
        <w:spacing w:before="40" w:after="40"/>
        <w:ind w:left="283"/>
      </w:pPr>
      <w:r>
        <w:rPr>
          <w:rFonts w:ascii="Calibri" w:hAnsi="Calibri"/>
          <w:b/>
          <w:color w:val="4A6B25"/>
          <w:sz w:val="20"/>
        </w:rPr>
        <w:t xml:space="preserve">3. </w:t>
      </w:r>
      <w:r>
        <w:rPr>
          <w:rFonts w:ascii="Calibri" w:hAnsi="Calibri"/>
          <w:b w:val="0"/>
          <w:color w:val="3A4A28"/>
          <w:sz w:val="20"/>
        </w:rPr>
        <w:t>Federal Reserve rate cuts in 2026-2027 could ease pressure on CRE borrowers, reduce loan defaults, and lower KREF's funding costs, benefiting net interest margins and book value stabilization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Continuing CRE credit deterioration could force additional loan loss provisions beyond the $122M Q2 2026 loss, further eroding book value and potentially triggering additional dividend cuts below the current $0.10/quarter rate [1][2]</w:t>
      </w:r>
    </w:p>
    <w:p>
      <w:pPr>
        <w:spacing w:before="40" w:after="40"/>
        <w:ind w:left="283"/>
      </w:pPr>
      <w:r>
        <w:rPr>
          <w:rFonts w:ascii="Calibri" w:hAnsi="Calibri"/>
          <w:b/>
          <w:color w:val="4A6B25"/>
          <w:sz w:val="20"/>
        </w:rPr>
        <w:t xml:space="preserve">2. </w:t>
      </w:r>
      <w:r>
        <w:rPr>
          <w:rFonts w:ascii="Calibri" w:hAnsi="Calibri"/>
          <w:b w:val="0"/>
          <w:color w:val="3A4A28"/>
          <w:sz w:val="20"/>
        </w:rPr>
        <w:t>D/E of 435.8% creates existential leverage risk — if CRE asset values decline further, KREF's equity cushion could be entirely consumed, forcing a potential capital raise at distressed levels or wind-down of the portfolio [4]</w:t>
      </w:r>
    </w:p>
    <w:p>
      <w:pPr>
        <w:spacing w:before="40" w:after="40"/>
        <w:ind w:left="283"/>
      </w:pPr>
      <w:r>
        <w:rPr>
          <w:rFonts w:ascii="Calibri" w:hAnsi="Calibri"/>
          <w:b/>
          <w:color w:val="4A6B25"/>
          <w:sz w:val="20"/>
        </w:rPr>
        <w:t xml:space="preserve">3. </w:t>
      </w:r>
      <w:r>
        <w:rPr>
          <w:rFonts w:ascii="Calibri" w:hAnsi="Calibri"/>
          <w:b w:val="0"/>
          <w:color w:val="3A4A28"/>
          <w:sz w:val="20"/>
        </w:rPr>
        <w:t>External management fee structure means KKR earns management fees (1.5% of equity) regardless of KREF's performance, creating misaligned incentives where management is not financially penalized for shareholder value destruction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KREF's core business of originating transitional senior loans secured by commercial real estate involves complex underwriting judgment, relationship-driven deal sourcing through KKR's platform, legal documentation, and physical property collateral that AI cannot easily replicate [3]. Regulatory requirements (REIT compliance, SEC reporting) and the relationship-intensive nature of institutional CRE lending create meaningful defensive moats. However, AI-powered fintech platforms and automated underwriting tools could create competitive pressure over time — companies like Cadence and Blend are deploying AI for commercial real estate lending decisions. The physical real estate collateral underlying KREF's loans provides structural protection that purely digital businesses lack. AI Opportunity (0/1): No AI revenue. KREF does not deploy AI-powered products or services. KKR broadly invests in AI-related companies through its private equity and venture arms, but KREF as a lending vehicle does not generate AI revenue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KKR Real Estate Finance Trust Q2 2026 Earnings — GAAP Loss $122M ($1.95/share), Distributable Loss $0.58/share, Revenue $28.72M (+15% vs forecast), CEO Salem Stability Commentary, August 2026</w:t>
      </w:r>
    </w:p>
    <w:p>
      <w:pPr>
        <w:spacing w:before="20" w:after="20"/>
        <w:ind w:left="170"/>
      </w:pPr>
      <w:r>
        <w:rPr>
          <w:rFonts w:ascii="Calibri" w:hAnsi="Calibri"/>
          <w:b/>
          <w:color w:val="4A6B25"/>
          <w:sz w:val="15"/>
        </w:rPr>
        <w:t xml:space="preserve">2. </w:t>
      </w:r>
      <w:r>
        <w:rPr>
          <w:rFonts w:ascii="Calibri" w:hAnsi="Calibri"/>
          <w:b w:val="0"/>
          <w:color w:val="3A4A28"/>
          <w:sz w:val="17"/>
        </w:rPr>
        <w:t>KKR Real Estate Finance Trust Q1 2026 10-Q — Deeper Loss, Rising Credit Reserves, Expected $2B+ Repayments, May 2026</w:t>
      </w:r>
    </w:p>
    <w:p>
      <w:pPr>
        <w:spacing w:before="20" w:after="20"/>
        <w:ind w:left="170"/>
      </w:pPr>
      <w:r>
        <w:rPr>
          <w:rFonts w:ascii="Calibri" w:hAnsi="Calibri"/>
          <w:b/>
          <w:color w:val="4A6B25"/>
          <w:sz w:val="15"/>
        </w:rPr>
        <w:t xml:space="preserve">3. </w:t>
      </w:r>
      <w:r>
        <w:rPr>
          <w:rFonts w:ascii="Calibri" w:hAnsi="Calibri"/>
          <w:b w:val="0"/>
          <w:color w:val="3A4A28"/>
          <w:sz w:val="17"/>
        </w:rPr>
        <w:t>KKR Real Estate Finance Trust Company Profile — Externally Managed by KKR, Matt Salem/Christen Lee Co-CEOs, 'One-Firm' Culture, 17+ Years CRE Experience,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KREF Key Statistics: Stock Price $6.06, Forward P/E 55.09, D/E 435.78%, ROE -16.52%, Dividend Yield 6.6%, Payout Ratio 588%,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