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KRG</w:t>
      </w:r>
      <w:r>
        <w:rPr>
          <w:rFonts w:ascii="Calibri" w:hAnsi="Calibri"/>
          <w:b/>
          <w:color w:val="1A2010"/>
          <w:sz w:val="40"/>
        </w:rPr>
        <w:t xml:space="preserve">  Kite Realty Group Trust</w:t>
      </w:r>
    </w:p>
    <w:p>
      <w:pPr>
        <w:spacing w:after="120"/>
      </w:pPr>
      <w:r>
        <w:rPr>
          <w:rFonts w:ascii="Calibri" w:hAnsi="Calibri"/>
          <w:b/>
          <w:color w:val="6E8450"/>
          <w:sz w:val="18"/>
        </w:rPr>
        <w:t>DIVIDEND SLEEVE · 2026-09-13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Retail · NYSE · United States</w:t>
      </w:r>
    </w:p>
    <w:p>
      <w:pPr>
        <w:spacing w:after="80"/>
      </w:pPr>
      <w:r>
        <w:rPr>
          <w:rFonts w:ascii="Calibri" w:hAnsi="Calibri"/>
          <w:b w:val="0"/>
          <w:color w:val="3A4A28"/>
          <w:sz w:val="20"/>
        </w:rPr>
        <w:t>Kite Realty Group Trust is a real estate investment trust that owns and operates a high-quality portfolio of open-air shopping centers and mixed-use destinations comprising approximately 27.3 million square feet, concentrated in high-growth Sun Belt and select strategic gateway markets. The portfolio is leased at strong occupancy with grocery-anchored and necessity-based tenants. Publicly listed since 2004, KRG has over six decades of real estate experience and is led by founder-CEO John A. Kite. Q2 2026 delivered Core FFO of $0.52/share with same-property NOI growth of 3.7%, blended cash leasing spreads of 15.9%, and ABR per square foot of $23.41 (+6.3% YoY). Same-property NOI guidance was raised to 3.0-4.0% for FY2026.</w:t>
      </w:r>
    </w:p>
    <w:p>
      <w:r>
        <w:rPr>
          <w:rFonts w:ascii="Calibri" w:hAnsi="Calibri"/>
          <w:b/>
          <w:color w:val="6E8450"/>
          <w:sz w:val="18"/>
        </w:rPr>
        <w:t>228 Employees · https://www.kiterealty.com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KRG completed the transformative RPAI merger in 2021, nearly doubling its portfolio and decisively repositioning as a pure-play Sun Belt, open-air shopping center REIT [1]. The combined platform has delivered 15.9% blended cash leasing spreads in Q2 2026 (up from 13.8% in Q1), with new leases at 28.4% spreads, and same-property NOI growth of 3.7%, validating the merger thesis [1]. AI Deployment (0/2): KRG hired Jack Rahner as SVP and Chief Technology &amp; Innovation Officer in April 2026 to lead AI and emerging technology integration across the platform, bringing 20+ years of enterprise technology experience from Welltower [3]. However, no AI-powered products have shipped and no quantified AI-driven cost savings or revenue gains have been reported — this remains an early-stage commitment. Market Share (1/2): KRG is a meaningful mid-cap player in the open-air retail REIT space with 27.3M square feet, though materially smaller than peers Regency Centers (480+ properties) and Federal Realty in scale and market capitalization [1]. Product Pipeline (0/2): No specific next-generation developments or acquisition targets with timelines and revenue visibility were disclosed. Growth strategy is incremental through leasing spreads and same-property NOI optimization. R&amp;D Intensity (0/1): As a retail REIT, KRG does not report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KRG's stated purpose centers on creating 'thriving, vibrant communities' through high-quality retail destinations — clear and connects the company's work to community enrichment, but not distinctive among retail REITs and does not articulate a transformative future vision [1]. Community Impact (2/2): KRG has planted over 50,000 trees through its One Tree Planted partnership (100 trees per comparable new lease since 2020), executed renewable energy PPAs across multiple properties, reduced Scope 1 and 2 GHG emissions by 31.5% cumulatively since 2019 (13.7% YoY in 2024), and is on track for its Science-Based Target of 46% reduction by 2030 [4][5]. The ESG Task Force is led by the CEO and includes cross-functional leadership. These are specific, measurable environmental commitments that exceed retail REIT norms. Employee Retention (0/2): With only 228 employees, retention data is extremely limited. No specific tenure or voluntary turnover metrics were found in public sources. Insider Buying (0/2): Director Steven Grimes sold 5,922 shares at $27.25 in May 2026 [3]. Over recent months, insiders sold approximately $0.2M worth of shares with no evidence of net insider buying by any executive.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104.72% scores 0.85 against the 70% target — moderate leverage supported by net debt to adjusted EBITDA of 5.2x, debt service coverage of 4.1x, and $1.1B available liquidity [1][2]. ROE of 9.25% is below the 15% target (scores 0.62), typical for retail REITs. Revenue growth YoY of -3.8% (scores 0.54) reflects portfolio disposition activity; same-property NOI grew 3.7% in Q2 2026 [1]. Revenue growth 5yr CAGR of 6.0% scores 0.73. Forward P/E of 27.26 scores 0.82, a reasonable level for a growing retail REIT [2]. Profit margin of 35.4% scores 1.0, though Q2 2026 net income of $161.3M (up from $110.3M in Q2 2025) includes property sale gains that inflate recurring profitability. Dividend payout ratio of 78.8% scores 0.35. Consecutive years paid of 6 (post-COVID restart) scores 0.60 at 2x weight. Consecutive years growth of 5 scores 0.50. 5yr dividend growth CAGR of 19.1% scores 1.0 at 2x weight, though the base effect of post-COVID recovery inflates this figure. Liquidity floor easily cleared at ~$48M daily traded value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Kite Realty demonstrates solid operational execution and strategic consistency under CEO John Kite's 22-year leadership since IPO, with the RPAI merger showing willingness to make transformative bets. However, the company's purpose does not rise to the level of a Just Cause — it is a well-run real estate business focused on shareholder returns rather than a vision of a future state people would sacrifice to advance. Financial engineering (share buybacks, dividend optimization) dominates strategic messaging over purpose-driven language. The raised same-property NOI guidance to 3.0-4.0% and improving leasing spreads to 15.9% in Q2 2026 validate execution but do not alter the finite-game orientation.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KRG's purpose of creating 'thriving, vibrant communities' through high-quality retail destinations has been consistent through 60+ years of real estate development [1], but reads as a sound business strategy rather than a purpose that transcends the business. CEO Kite's strategic communications emphasize 'platform evolution,' 'competitive edge,' and 'growth engine' — the language of winning, not of serving. No evidence that the purpose drives strategic decisions in ways that cost the company or differentiate from any peer retail REIT.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John Kite's 22-year tenure since IPO provides exceptional leadership continuity, and the April 2026 appointment of three senior vice presidents — across technology, asset management, and finance — suggests deliberate organizational investment and willingness to empower new talent [3]. CEO Kite described them as 'a powerful cohort of leaders who will fundamentally enhance how KRG operates.' However, with only 228 employees, evidence of broader organizational trust practices is limited and no specific retention or cultural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found of KRG management acknowledging competitors' strengths or framing competition as motivation for self-improvement. The company competes against larger retail REITs including Regency Centers, Federal Realty, and Kimco Realty, but competitive positioning language focuses on KRG's own portfolio quality and Sun Belt demographics rather than lessons learned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RPAI merger fundamentally repositioned KRG from a smaller, diversified REIT into a scaled, pure-play Sun Belt open-air retail platform [1]. The company continues active asset disposition to refine the portfolio toward its target market profile. However, the core business model — owning and operating retail shopping centers — has remained unchanged. The adaptation has been evolutionary repositioning, not a transformative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2021 RPAI merger was a bold strategic move during the COVID recovery period when retail REITs faced existential uncertainty — doubling the portfolio at a time when many questioned the future of physical retail required genuine conviction [1]. The active asset recycling and raising same-property NOI guidance to 3.0-4.0% in Q2 2026 demonstrate confidence in the portfolio strategy. The April 2026 appointment of three SVPs including a CTIO shows willingness to invest in organizational capability. However, these moves were market-validated and financially accretive, reducing the courage bar.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Kite Realty Group Trust is a well-managed open-air retail REIT concentrated in high-growth Sun Belt markets, delivering consistent and improving operational performance. Q2 2026 same-property NOI grew 3.7% YoY with blended cash leasing spreads accelerating to 15.9% (new leases at 28.4%) and ABR per square foot reaching $23.41 (+6.3% YoY) [1]. Same-property NOI guidance was raised to 3.0-4.0% for FY2026. Core FFO guidance of $2.06-$2.12/share implies the stock trades at approximately 13x FFO, reasonable for a growing retail REIT [1]. The 4.38% dividend yield with 19%+ five-year growth CAGR offers attractive income, and the balance sheet is disciplined with net debt to adjusted EBITDA at 5.2x and $1.1B available liquidity. An Inspire score of +50 (ALIGNED) makes KRG one of the more faith-compatible REITs available.</w:t>
      </w:r>
    </w:p>
    <w:p>
      <w:pPr>
        <w:spacing w:after="120"/>
      </w:pPr>
      <w:r>
        <w:rPr>
          <w:rFonts w:ascii="Calibri" w:hAnsi="Calibri"/>
          <w:b w:val="0"/>
          <w:color w:val="3A4A28"/>
          <w:sz w:val="20"/>
        </w:rPr>
        <w:t>However, KRG scores poorly on innovation (no R&amp;D, no AI products, modest scale vs peers) and the overall score is held back by a finite game orientation focused on shareholder returns rather than transformative purpose. Revenue declined 3.8% YoY despite positive same-property NOI growth, reflecting ongoing asset disposition activity that shrinks the revenue base even as per-share metrics improve. The 19.1% 5-year dividend growth CAGR is inflated by the base effect of post-COVID dividend recovery — sustainable dividend growth is closer to mid-single digits. Forward P/E of 27.3x on GAAP earnings appears elevated, though FFO-based valuation at ~13x is more representative. Key risks include retail sector sensitivity to economic slowdowns, the elevated payout ratio of 79% leaving limited room for dividend growth if FFO decelerates, and execution risk on the new technology and AI strategy under the recently hired Chief Technology &amp; Innovation Officer.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Same-property NOI guidance raised to 3.0-4.0% for FY2026, with Q2 tracking at 3.7% and blended cash leasing spreads accelerating to 15.9% (new leases at 28.4%), signaling pricing power across the Sun Belt portfolio [1]</w:t>
      </w:r>
    </w:p>
    <w:p>
      <w:pPr>
        <w:spacing w:before="40" w:after="40"/>
        <w:ind w:left="283"/>
      </w:pPr>
      <w:r>
        <w:rPr>
          <w:rFonts w:ascii="Calibri" w:hAnsi="Calibri"/>
          <w:b/>
          <w:color w:val="4A6B25"/>
          <w:sz w:val="20"/>
        </w:rPr>
        <w:t xml:space="preserve">2. </w:t>
      </w:r>
      <w:r>
        <w:rPr>
          <w:rFonts w:ascii="Calibri" w:hAnsi="Calibri"/>
          <w:b w:val="0"/>
          <w:color w:val="3A4A28"/>
          <w:sz w:val="20"/>
        </w:rPr>
        <w:t>ABR per square foot growth of 6.3% YoY to $23.41 in Q2 2026, demonstrating ability to capture higher rents as leases roll, supporting organic revenue growth independent of acquisitions</w:t>
      </w:r>
    </w:p>
    <w:p>
      <w:pPr>
        <w:spacing w:before="40" w:after="40"/>
        <w:ind w:left="283"/>
      </w:pPr>
      <w:r>
        <w:rPr>
          <w:rFonts w:ascii="Calibri" w:hAnsi="Calibri"/>
          <w:b/>
          <w:color w:val="4A6B25"/>
          <w:sz w:val="20"/>
        </w:rPr>
        <w:t xml:space="preserve">3. </w:t>
      </w:r>
      <w:r>
        <w:rPr>
          <w:rFonts w:ascii="Calibri" w:hAnsi="Calibri"/>
          <w:b w:val="0"/>
          <w:color w:val="3A4A28"/>
          <w:sz w:val="20"/>
        </w:rPr>
        <w:t>AI and technology integration under new CTIO Jack Rahner could drive operational efficiency, data-driven leasing analytics, and competitive differentiation among retail REITs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declined 3.8% YoY despite positive same-property NOI growth, reflecting portfolio disposition activity that shrinks the revenue base — continued asset sales could pressure headline growth even as per-share metrics improve</w:t>
      </w:r>
    </w:p>
    <w:p>
      <w:pPr>
        <w:spacing w:before="40" w:after="40"/>
        <w:ind w:left="283"/>
      </w:pPr>
      <w:r>
        <w:rPr>
          <w:rFonts w:ascii="Calibri" w:hAnsi="Calibri"/>
          <w:b/>
          <w:color w:val="4A6B25"/>
          <w:sz w:val="20"/>
        </w:rPr>
        <w:t xml:space="preserve">2. </w:t>
      </w:r>
      <w:r>
        <w:rPr>
          <w:rFonts w:ascii="Calibri" w:hAnsi="Calibri"/>
          <w:b w:val="0"/>
          <w:color w:val="3A4A28"/>
          <w:sz w:val="20"/>
        </w:rPr>
        <w:t>Payout ratio of 79% and 6-year dividend payment history (post-COVID restart) leave limited margin of safety — any FFO deceleration could pressure dividend sustainability</w:t>
      </w:r>
    </w:p>
    <w:p>
      <w:pPr>
        <w:spacing w:before="40" w:after="40"/>
        <w:ind w:left="283"/>
      </w:pPr>
      <w:r>
        <w:rPr>
          <w:rFonts w:ascii="Calibri" w:hAnsi="Calibri"/>
          <w:b/>
          <w:color w:val="4A6B25"/>
          <w:sz w:val="20"/>
        </w:rPr>
        <w:t xml:space="preserve">3. </w:t>
      </w:r>
      <w:r>
        <w:rPr>
          <w:rFonts w:ascii="Calibri" w:hAnsi="Calibri"/>
          <w:b w:val="0"/>
          <w:color w:val="3A4A28"/>
          <w:sz w:val="20"/>
        </w:rPr>
        <w:t>Retail REIT sector faces headwinds from potential economic slowdown and continued e-commerce penetration, particularly for non-grocery, non-essential tenants in the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KRG's core business of owning and operating physical open-air shopping centers is structurally protected from AI disruption. AI cannot replace the physical real estate that tenants need to operate retail stores, restaurants, medical offices, and fitness centers [1]. The grocery-anchored focus is particularly resilient — groceries remain predominantly an in-person purchase. The Sun Belt concentration in high-growth demographic markets provides additional protection as population growth drives physical retail demand. Analysts do not flag AI as a risk factor for open-air retail REITs. The only exposure is indirect — AI-powered e-commerce could theoretically reduce demand for non-essential retail tenants, but KRG's necessity-based and experiential tenant mix minimizes this risk. AI Opportunity (0/1): KRG hired a Chief Technology &amp; Innovation Officer in April 2026 to embed AI across the organization for productivity and leasing analytics [3], but no AI-related revenue has been generated and no specific revenue figures from AI products or services have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Kite Realty Group Q2 2026 Earnings Release — Core FFO $0.52/share, Same-Property NOI +3.7%, Leasing Spreads 15.9%, NOI Guidance Raised to 3.0-4.0%, ABR $23.41/sqft, July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CNBC, Yahoo Finance — KRG Key Statistics, Forward P/E 27.26, D/E 104.72%, ROE 9.25%,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Kite Realty Group Senior Leadership Appointments — CTIO Jack Rahner, SVP Asset Management, SVP Finance — GlobeNewSwire, April 2026</w:t>
      </w:r>
    </w:p>
    <w:p>
      <w:pPr>
        <w:spacing w:before="20" w:after="20"/>
        <w:ind w:left="170"/>
      </w:pPr>
      <w:r>
        <w:rPr>
          <w:rFonts w:ascii="Calibri" w:hAnsi="Calibri"/>
          <w:b/>
          <w:color w:val="4A6B25"/>
          <w:sz w:val="15"/>
        </w:rPr>
        <w:t xml:space="preserve">4. </w:t>
      </w:r>
      <w:r>
        <w:rPr>
          <w:rFonts w:ascii="Calibri" w:hAnsi="Calibri"/>
          <w:b w:val="0"/>
          <w:color w:val="3A4A28"/>
          <w:sz w:val="17"/>
        </w:rPr>
        <w:t>Kite Realty Group 2024 Corporate Responsibility Report — One Tree Planted Partnership, GHG Emissions Reduction 31.5% Since 2019, kiterealty.com, 2024</w:t>
      </w:r>
    </w:p>
    <w:p>
      <w:pPr>
        <w:spacing w:before="20" w:after="20"/>
        <w:ind w:left="170"/>
      </w:pPr>
      <w:r>
        <w:rPr>
          <w:rFonts w:ascii="Calibri" w:hAnsi="Calibri"/>
          <w:b/>
          <w:color w:val="4A6B25"/>
          <w:sz w:val="15"/>
        </w:rPr>
        <w:t xml:space="preserve">5. </w:t>
      </w:r>
      <w:r>
        <w:rPr>
          <w:rFonts w:ascii="Calibri" w:hAnsi="Calibri"/>
          <w:b w:val="0"/>
          <w:color w:val="3A4A28"/>
          <w:sz w:val="17"/>
        </w:rPr>
        <w:t>Kite Realty Group ESG Performance — SBTi 46% Reduction Target by 2030, Renewable Energy PPAs, Cross-Functional ESG Task Force,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