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KVUE</w:t>
      </w:r>
      <w:r>
        <w:rPr>
          <w:rFonts w:ascii="Calibri" w:hAnsi="Calibri"/>
          <w:b/>
          <w:color w:val="1A2010"/>
          <w:sz w:val="40"/>
        </w:rPr>
        <w:t xml:space="preserve">  Kenvue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2026-10-03 · Inspire: 54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58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Defensive · Household &amp; Personal Products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Kenvue is the consumer health company spun out of Johnson &amp; Johnson, owner of Tylenol, Neutrogena, Listerine, Band-Aid, Aveeno and Zyrtec. Q2 2026 net sales rose 3.0% (organic +1.6%) with adjusted EPS of $0.31, and the company has a pending transaction with Kimberly-Clark [1].</w:t>
      </w:r>
    </w:p>
    <w:p>
      <w:r>
        <w:rPr>
          <w:rFonts w:ascii="Calibri" w:hAnsi="Calibri"/>
          <w:b/>
          <w:color w:val="6E8450"/>
          <w:sz w:val="18"/>
        </w:rPr>
        <w:t>22,000 Employees · https://www.kenvue.com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brand refreshes and portfolio extensions since the 2023 IPO are incremental, and the company is now subject to a pending Kimberly-Clark transaction [1]. AI Deployment (0/2): no quantified AI products or savings found. Market Share (2/2): category leader with Tylenol, Listerine, Neutrogena and Band-Aid in global consumer health. Product Pipeline (1/2): general innovation commentary and on-algorithm profit guidance but few named launches with dates [1]. R&amp;D Intensity (1/1): consumer health R&amp;D near industry average.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Kenvue's 'A new view of care' purpose, grounded in the Healthy Lives Mission with an $800M commitment by 2030, is specific and connects products to everyday health [2]. Community Impact (1/2): corporate giving and Healthy Lives programs exist but are not dollar-specific beyond the $800M product-investment pledge [2]. Employee Retention (0/2): Glassdoor shows 61% recommend, 64% CEO approval, and reports of 3+ restructurings in two years [3]. Insider Buying (0/2): no net insider buying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Growth stock (public history under 5 years; 5yr CAGR and PEG unavailable and excluded). ROE of 15.6% (score 1.0, 2x weight), forward P/E of 13.9 (score 1.0), D/E of 81.6% (score 0.95), revenue growth of 3.0% (score 0.77) and a 10.8% profit margin (score 0.54) sum to 5.26 of 6 weighted units, yielding 9 [1]. Dollar volume of ~$380M is ample.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Kenvue has a genuine consumer-health purpose inherited from J&amp;J's heritage, but its short independent history, repeated restructurings and employee reports of chaotic leadership point to a company still finding its footing. The pending Kimberly-Clark transaction and Tylenol litigation overhang keep it closer to a finite, deal-driven posture than a settled infinite player.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'everyday care is a powerful catalyst for better health' is distinctive and ties to the Healthy Lives Mission, though the company is only three years independent and the cause is untested as a standalone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Glassdoor reports 3+ restructurings in two years, frequent layoffs, 'toxic' communication from senior leaders and a 61% recommend rate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a learn-from-rivals framing; competitive talk centres on category growth targets.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carve-out from J&amp;J and brand portfolio reshaping are meaningful but not transformative pivots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the separation from J&amp;J and the $800M Healthy Lives commitment are long-term moves, but a pending sale to Kimberly-Clark suggests exit over endurance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Kenvue at $17.20 trades at 13.9x forward earnings with a ~4.8% dividend yield, a 15.6% ROE and 81.6% D/E. It delivered three consecutive quarters of net and organic sales growth, with Q2 2026 net sales +3.0%, adjusted EPS +7% to $0.31, and Q1 adjusted EPS +33% to $0.32 [1]. Leading brands such as Tylenol, Listerine and Neutrogena give durable defensive cash flow.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Growth is modest (organic +0.7% in Q1, +1.6% in Q2) and the pending Kimberly-Clark transaction means no forward guidance and deal-completion uncertainty [1]. Employee reviews cite 3+ restructurings in two years and a 61% recommend rate, and the Moderate controversy rating (Sustainalytics 2 of 5) reflects product-liability exposure [2][3]. Profit margin of 10.8% trails the 20% target.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Completion of the Kimberly-Clark transaction crystallising value for shareholders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Continued organic growth, 1.6% in Q2 2026 as the third straight growth quarter, with mid-to-high single digit adjusted operating profit growth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Margin recovery from restructuring, with adjusted EPS up 33% in Q1 2026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Deal-closing or regulatory risk and no guidance during the pending transaction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Product liability litigation exposure on core brands such as Tylenol, reflected in a moderate controversy rating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Organisational instability from repeated restructurings and talent loss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over-the-counter medicines, skin care and oral care are physical, regulated products with strong brand trust, and analysts do not cite AI as an earnings threat; search-driven discovery shifts are a minor distribution risk [1]. AI Opportunity (0/1): no quantified AI revenue.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54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Kenvue Q1 and Q2 2026 Earnings Releases — SEC Form 8-K, kenvue.com, May and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Kenvue ESG Risk Score 23, controversy level 2, Healthy Lives Mission — Yahoo Finance/Sustainalytics, 10-K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Kenvue Glassdoor Reviews — 61% recommend, 64% CEO approval, restructuring commentary,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