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KYN</w:t>
      </w:r>
      <w:r>
        <w:rPr>
          <w:rFonts w:ascii="Calibri" w:hAnsi="Calibri"/>
          <w:b/>
          <w:color w:val="1A2010"/>
          <w:sz w:val="40"/>
        </w:rPr>
        <w:t xml:space="preserve">  Kayne Anderson Energy Infrastructure Fund, Inc.</w:t>
      </w:r>
    </w:p>
    <w:p>
      <w:pPr>
        <w:spacing w:after="120"/>
      </w:pPr>
      <w:r>
        <w:rPr>
          <w:rFonts w:ascii="Calibri" w:hAnsi="Calibri"/>
          <w:b/>
          <w:color w:val="6E8450"/>
          <w:sz w:val="18"/>
        </w:rPr>
        <w:t>DIVIDEND SLEEVE · 2026-09-21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Closed-End Fund - Equity · NYSE · United States</w:t>
      </w:r>
    </w:p>
    <w:p>
      <w:pPr>
        <w:spacing w:after="80"/>
      </w:pPr>
      <w:r>
        <w:rPr>
          <w:rFonts w:ascii="Calibri" w:hAnsi="Calibri"/>
          <w:b w:val="0"/>
          <w:color w:val="3A4A28"/>
          <w:sz w:val="20"/>
        </w:rPr>
        <w:t>Kayne Anderson Energy Infrastructure Fund is a non-diversified, closed-end fund investing primarily in midstream energy infrastructure companies including MLPs and C-Corps. Founded in 2004, the fund is externally managed by KA Fund Advisors, LLC, a subsidiary of Kayne Anderson Capital Advisors. Portfolio is approximately 95% midstream energy with 31 investments in 29 companies [1]. Net assets of approximately $2.7B. The fund pays monthly distributions of $0.09/share ($1.08 annualized) yielding approximately 7.5%, recently increased 5.9% from $0.085 [1]. Five-year net asset return of 211% (25.5% annualized) through November 2025 demonstrates strong long-term performance [1].</w:t>
      </w:r>
    </w:p>
    <w:p>
      <w:r>
        <w:rPr>
          <w:rFonts w:ascii="Calibri" w:hAnsi="Calibri"/>
          <w:b/>
          <w:color w:val="6E8450"/>
          <w:sz w:val="18"/>
        </w:rPr>
        <w:t>https://kaynefunds.com/kyn/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KYN evolved from the narrower 'Kayne Anderson MLP Investment Company' to the broader 'Kayne Anderson Energy Infrastructure Fund,' expanding its investable universe beyond MLPs to include midstream C-corps, power infrastructure, and renewable energy — a meaningful but incremental strategic adaptation rather than a transformative pivot [2]. AI Deployment (1/2): Kayne Anderson has created an internal GPT AI to streamline back- and middle-office functions, though AI is explicitly not relied upon for investment decision-making and no quantified efficiency gains have been reported [2]. Market Share (1/2): KYN is one of the largest energy infrastructure closed-end funds with approximately $2.7B in net assets, making it a meaningful player in the energy infrastructure CEF space, though it competes with numerous ETFs and open-end funds for midstream exposure [1]. Product Pipeline (0/2): No product pipeline applicable — KYN is a single-strategy investment vehicle with an established mandate. R&amp;D Intensity (0/1): Not applicable for a closed-end fund.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KYN's stated objective is to deliver 'high after-tax total return with a strong emphasis on monthly cash distributions to shareholders' — a purely financial purpose that is generic and interchangeable with any income-oriented fund [2]. No deeper purpose beyond shareholder returns is articulated. Community Impact (0/2): No evidence of charitable giving, community investment programs, or philanthropic initiatives at the fund level. Employee Retention (1/2): Jim Baker has served as Chairman, President, and CEO since 2019 after 15+ years at Kayne Anderson, demonstrating meaningful leadership continuity [2]. The board has been strengthened with industry veterans including former Marathon Petroleum CEO Michael Hennigan. Insider Buying (2/2): Exceptionally strong insider conviction with 18 insider buys and zero insider sells over the past year. CEO Baker purchased 50,000 shares totaling approximately $700K in March-April 2026, with additional purchases by CFO Austin Parker, EVP Harrison Little, and Director Hennigan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applicable metrics, excluding revenue growth and profit margin as not meaningful for a closed-end fund where 'revenue' represents volatile investment income and margins are distorted by unrealized gains [3]. D/E of 25.1% is well below the 70% target, reflecting conservative leverage for a leveraged CEF [1]. ROE of approximately 19.7% exceeds the 15% target based on trailing EPS of $2.90 and estimated NAV [1]. Forward P/E of 5.0x scores maximum. Monthly distribution of $0.09/share ($1.08 annualized) yields approximately 7.5% with a payout ratio of 34.1% — well below the 40% target [3]. Consecutive years paid of 22 (since 2004 inception) scores maximum at 2x weight. Consecutive years growth is approximately 1 (2025 declined from $1.06 to $0.96, 2026 annualized $1.08 back up). 5-year dividend growth CAGR of approximately 16.6% (from $0.50 in 2021 to $1.08 annualized 2026) far exceeds the 6% target at 2x weight [3]. Liquidity passes at ~$4.7M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KYN is a fundamentally finite-minded vehicle — it exists to generate distributions and total returns for shareholders, with no Just Cause beyond capital allocation. The fund demonstrates adequate operational stability through long-tenured leadership and strong insider buying, and has shown flexibility in broadening its mandate from MLPs to broader energy infrastructure. However, there is no evidence of a purpose that transcends financial performance, and the competitive orientation focuses on NAV discount, distribution yield, and relative return metrics.</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KYN's purpose — delivering high after-tax total returns with emphasis on monthly distributions — is a finite objective indistinguishable from any income fund [2]. There is no articulated vision of a future state that would inspire sacrifice. Sinek would classify this as a textbook finite player whose success is measured entirely in quarterly NAV and distribution metrics.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Leadership demonstrates meaningful stability — Jim Baker has been at Kayne Anderson for 15+ years and has served as CEO since 2019, with the board carefully constructed with relevant industry expertise including Michael Hennigan (former Marathon Petroleum CEO) and Michael Mears (pipeline industry veteran) [2]. The strong insider buying across multiple executives signals alignment between management and shareholders. However, as an externally managed fund, there is no broader employee base to evaluate.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KYN's competitive positioning focuses on NAV performance, distribution yield relative to peers, and discount-to-NAV metrics — all finite, comparative measures [2]. Communications emphasize superior return potential relative to alternatives rather than learning from competitors'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KYN has evolved its investment mandate from an MLP-only focus to encompass the full energy infrastructure universe including midstream C-corps, power infrastructure, and renewables [2]. This represents meaningful adaptation to structural changes in the MLP market (MLPs converting to C-corp structure) but is an incremental evolution within energy infrastructure, not a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maintained distributions through volatile energy markets and executed the mandate expansion despite potential pushback from MLP-focused investors [2]. CEO Baker and board members' significant personal share purchases (18 buys, 0 sells over the past year, totaling over $1M) demonstrate willingness to put personal capital at risk alongside shareholders [1]. These represent competent management rather than the kind of costly, principled bets Sinek associates with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KYN offers compelling access to midstream energy infrastructure through a leveraged closed-end fund structure with an approximately 7.5% distribution yield, recently increased to $0.09/month [1]. The fund's approximately 95% midstream portfolio is positioned to benefit from two secular tailwinds: AI-driven data center buildouts consuming record natural gas volumes, and the energy security imperative supporting domestic infrastructure investment. Five-year net asset return of 211% (25.5% annualized) demonstrates strong long-term track record [1]. Management targets low-to-mid teens annual returns through a combination of 4-6% dividend yields, 5-7% cash flow growth, and 0-3% excess free cash flow from portfolio holdings. The exceptionally strong insider buying — 18 purchases and zero sales across four executives in the past year — signals deep management conviction in the fund's value [1].</w:t>
      </w:r>
    </w:p>
    <w:p>
      <w:pPr>
        <w:spacing w:after="120"/>
      </w:pPr>
      <w:r>
        <w:rPr>
          <w:rFonts w:ascii="Calibri" w:hAnsi="Calibri"/>
          <w:b w:val="0"/>
          <w:color w:val="3A4A28"/>
          <w:sz w:val="20"/>
        </w:rPr>
        <w:t>The primary risk is KYN's structural vulnerability to energy commodity cycles — 95% concentration in midstream energy creates zero diversification, and a sustained downturn in natural gas demand or production could compress NAV and force distribution cuts as occurred during the 2020 oil crash when monthly distributions were reduced by more than 50% [2]. The expense ratio (including leverage costs) creates a meaningful performance drag relative to passive midstream ETFs like AMLP, requiring consistent alpha generation to justify the cost structure. Several core financial metrics (revenue growth, profit margin) are not calculable in traditional terms for a closed-end fund, and the Infrastructure score of 9 partly reflects exclusion of non-applicable metrics rather than comprehensive financial strength [3]. The Inspire Impact Score of 0 (MIXED) with no positive or negative attributions reflects limited ESG coverage for a financial vehicle, placing KYN in neutral territory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buildout driving record natural gas demand growth, directly increasing throughput volumes and distributable cash flow for KYN's midstream portfolio holdings [2]</w:t>
      </w:r>
    </w:p>
    <w:p>
      <w:pPr>
        <w:spacing w:before="40" w:after="40"/>
        <w:ind w:left="283"/>
      </w:pPr>
      <w:r>
        <w:rPr>
          <w:rFonts w:ascii="Calibri" w:hAnsi="Calibri"/>
          <w:b/>
          <w:color w:val="4A6B25"/>
          <w:sz w:val="20"/>
        </w:rPr>
        <w:t xml:space="preserve">2. </w:t>
      </w:r>
      <w:r>
        <w:rPr>
          <w:rFonts w:ascii="Calibri" w:hAnsi="Calibri"/>
          <w:b w:val="0"/>
          <w:color w:val="3A4A28"/>
          <w:sz w:val="20"/>
        </w:rPr>
        <w:t>Distribution growth trajectory continuing from $0.085 to $0.09 per month with potential for further increases as midstream free cash flow generation reaches record levels [1]</w:t>
      </w:r>
    </w:p>
    <w:p>
      <w:pPr>
        <w:spacing w:before="40" w:after="40"/>
        <w:ind w:left="283"/>
      </w:pPr>
      <w:r>
        <w:rPr>
          <w:rFonts w:ascii="Calibri" w:hAnsi="Calibri"/>
          <w:b/>
          <w:color w:val="4A6B25"/>
          <w:sz w:val="20"/>
        </w:rPr>
        <w:t xml:space="preserve">3. </w:t>
      </w:r>
      <w:r>
        <w:rPr>
          <w:rFonts w:ascii="Calibri" w:hAnsi="Calibri"/>
          <w:b w:val="0"/>
          <w:color w:val="3A4A28"/>
          <w:sz w:val="20"/>
        </w:rPr>
        <w:t>18 insider purchases with zero sells over the past year creates compelling insider conviction signal, with potential for NAV convergence through share buybacks or market recognition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95% concentration in midstream energy provides zero sector diversification — a sustained commodity downturn could compress NAV and force distribution cuts, as occurred in 2020 when distributions were reduced by more than 50%</w:t>
      </w:r>
    </w:p>
    <w:p>
      <w:pPr>
        <w:spacing w:before="40" w:after="40"/>
        <w:ind w:left="283"/>
      </w:pPr>
      <w:r>
        <w:rPr>
          <w:rFonts w:ascii="Calibri" w:hAnsi="Calibri"/>
          <w:b/>
          <w:color w:val="4A6B25"/>
          <w:sz w:val="20"/>
        </w:rPr>
        <w:t xml:space="preserve">2. </w:t>
      </w:r>
      <w:r>
        <w:rPr>
          <w:rFonts w:ascii="Calibri" w:hAnsi="Calibri"/>
          <w:b w:val="0"/>
          <w:color w:val="3A4A28"/>
          <w:sz w:val="20"/>
        </w:rPr>
        <w:t>Elevated expense ratio including leverage costs creates substantial performance drag relative to passive midstream ETFs, requiring consistent alpha generation from security selection to justify the cost structure</w:t>
      </w:r>
    </w:p>
    <w:p>
      <w:pPr>
        <w:spacing w:before="40" w:after="40"/>
        <w:ind w:left="283"/>
      </w:pPr>
      <w:r>
        <w:rPr>
          <w:rFonts w:ascii="Calibri" w:hAnsi="Calibri"/>
          <w:b/>
          <w:color w:val="4A6B25"/>
          <w:sz w:val="20"/>
        </w:rPr>
        <w:t xml:space="preserve">3. </w:t>
      </w:r>
      <w:r>
        <w:rPr>
          <w:rFonts w:ascii="Calibri" w:hAnsi="Calibri"/>
          <w:b w:val="0"/>
          <w:color w:val="3A4A28"/>
          <w:sz w:val="20"/>
        </w:rPr>
        <w:t>Closed-end fund structure exposes investors to discount volatility independent of portfolio performance — the NAV discount can widen during risk-off periods, amplifying losses beyond underlying portfolio declines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KYN's portfolio is 95% midstream energy infrastructure — pipelines, processing plants, gathering systems, and storage facilities that are physically immune to AI disruption [2]. These are essential physical-world assets with regulated tariff structures that AI structurally cannot displace. Moreover, AI is a direct demand driver: hyperscale data centers are among the fastest-growing consumers of natural gas and electricity, directly increasing throughput volumes for the midstream assets KYN holds [1][2]. Kayne Anderson's investment team has identified 'budding AI beneficiaries' in energy infrastructure as a key investment theme, and the fund's power infrastructure allocation captures additional AI-driven electricity demand. AI Opportunity (0/1): The fund uses an internal GPT for back-office streamlining but generates no revenue from AI products or services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Kayne Anderson Energy Infrastructure Fund SEC Filings (N-CSR, N-CSRS FY2025-2026) — Portfolio Composition, NAV, Distribution History, Insider Purchases, accessed September 2026</w:t>
      </w:r>
    </w:p>
    <w:p>
      <w:pPr>
        <w:spacing w:before="20" w:after="20"/>
        <w:ind w:left="170"/>
      </w:pPr>
      <w:r>
        <w:rPr>
          <w:rFonts w:ascii="Calibri" w:hAnsi="Calibri"/>
          <w:b/>
          <w:color w:val="4A6B25"/>
          <w:sz w:val="15"/>
        </w:rPr>
        <w:t xml:space="preserve">2. </w:t>
      </w:r>
      <w:r>
        <w:rPr>
          <w:rFonts w:ascii="Calibri" w:hAnsi="Calibri"/>
          <w:b w:val="0"/>
          <w:color w:val="3A4A28"/>
          <w:sz w:val="17"/>
        </w:rPr>
        <w:t>KYN Fund Profile, Investment Strategy, and ESG Policy — kaynefunds.com, Kayne Anderson Capital Advisors,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KYN Key Statistics: P/E 4.98, D/E 25.1%, ROE 19.7%, Dividend Yield 7.48%,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