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LAB</w:t>
      </w:r>
      <w:r>
        <w:rPr>
          <w:rFonts w:ascii="Calibri" w:hAnsi="Calibri"/>
          <w:b/>
          <w:color w:val="1A2010"/>
          <w:sz w:val="40"/>
        </w:rPr>
        <w:t xml:space="preserve">  Standard BioTools Inc.</w:t>
      </w:r>
    </w:p>
    <w:p>
      <w:pPr>
        <w:spacing w:after="120"/>
      </w:pPr>
      <w:r>
        <w:rPr>
          <w:rFonts w:ascii="Calibri" w:hAnsi="Calibri"/>
          <w:b/>
          <w:color w:val="6E8450"/>
          <w:sz w:val="18"/>
        </w:rPr>
        <w:t>GROWTH SLEEVE · 2026-09-13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Standard BioTools (formerly Fluidigm) develops, manufactures, and sells instrumentation, consumables, and services for life science research and clinical applications. Key platforms include CyTOF mass cytometry, Hyperion spatial biology, and Biomark X9 high-throughput genomics. The company divested its SomaScan proteomics platform to Illumina in January 2026, leaving approximately $550M in cash and investments. A reverse merger with Treeline Biosciences announced in June 2026, valued at $2.5B combined, is pending with Standard BioTools shareholders expected to own ~16% of the combined entity. Q1 2026 revenue of $21.1M (+5% YoY) with FY2026 guidance of $80-85M. Adjusted EBITDA loss improved 78% YoY to $3.1M.</w:t>
      </w:r>
    </w:p>
    <w:p>
      <w:r>
        <w:rPr>
          <w:rFonts w:ascii="Calibri" w:hAnsi="Calibri"/>
          <w:b/>
          <w:color w:val="6E8450"/>
          <w:sz w:val="18"/>
        </w:rPr>
        <w:t>385 Employees · https://www.standardbio.com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Standard BioTools was formed from the 2022 merger of Fluidigm and SomaLogic, but the integration failed to produce growth — revenue declined to $85M in FY2025 (-6.2% YoY) and the SomaScan platform was divested to Illumina in January 2026 [1]. Q1 2026 revenue of $21.1M (+5% YoY) on continuing operations shows initial stabilization driven by 35% consumables growth to $11.0M, though instruments revenue declined 33% to $4.5M [2]. AI Deployment (0/2): The company's roadmap includes AI/ML for cell phenotype classification, IMC image segmentation, and biomarker discovery, but no AI-powered products are currently shipping to customers and no quantified AI-driven results have been reported [3]. Market Share (2/2): CyTOF mass cytometry technology is genuinely unique with no direct competitor in metal-tagged antibody mass spectrometry, giving Standard BioTools a category-defining niche in high-dimensional single-cell proteomics and spatial biology [3]. The Molecular Instruments collaboration for next-gen Imaging Mass Cytometry further strengthens this position. Product Pipeline (1/2): The pending Treeline Biosciences merger will bring a clinical-stage biotech pipeline to the combined entity, and the Molecular Instruments collaboration targets next-gen IMC workflows, though specific revenue timelines are not articulated [2]. R&amp;D Intensity (1/1): R&amp;D spending is substantial relative to revenue — gross margins around mid-50% with operating expenses cut 37% to $23.8M in Q1 still imply significant R&amp;D investment above life sciences tools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Standard BioTools' mission to 'unleash next-generation technologies to help drive innovation in the life science industry' is generic and interchangeable with any life sciences tools company — Thermo Fisher, Agilent, or Illumina could substitute the same words [3]. It does not articulate a deeper purpose or inspire beyond the obvious. Community Impact (1/2): The company's instruments contribute to cancer research and drug discovery in academic and clinical settings, providing indirect societal benefit. Published an inaugural ESG report aligned with UN Global Compact principles on human rights, labor, and environmental protection [4]. However, no specific charitable programs or dollar amounts cited. Employee Retention (0/2): Glassdoor reviews indicate severe organizational dysfunction — 29% recommendation rate, 2.5/5 culture score, and employees describing 'nearly complete change in leadership team, lots of attrition, and layoffs' with a 'massive knowledge gap' [3]. The new management team under CEO Michael Egholm (former Danaher Life Sciences CTO) has brought operational discipline — OpEx cut 37% YoY — but at the cost of institutional knowledge. Insider Buying (0/2): No evidence of net insider buying by executives. Standard BioTools was sued for allegedly misleading investors about the SomaLogic merger prospectus, adding governance risk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financial profile is anchored by a fortress balance sheet following the SomaScan divestiture: approximately $550M in cash and investments against only $29.5M debt produces D/E of 5% (scores 1.0) and net cash exceeding $520M — the company is worth approximately its cash value at the current market cap [1][5]. However, operating profitability remains deeply distressed with ROE of -9.86% (scores 0.0 at 2x weight) and ongoing operating losses on $80-85M guided revenue [2]. Q1 2026 revenue of $21.1M grew 5% YoY (scores 0.83), the first positive growth following years of contraction, driven by 35% consumables growth [2]. Adjusted EBITDA loss improved 78% to just $3.1M, showing meaningful progress toward breakeven. Forward P/E of 41.49 (scores 0.46) reflects market pricing of the Treeline merger premium. Profit margin of -87.8% on continuing operations (scores 0.0) excludes one-time divestiture gains. Revenue growth 5yr CAGR and PEG are unavailable. Liquidity floor cleared at ~$2.8M daily traded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Standard BioTools exhibits predominantly finite-game behavior — the company has undergone four identity transformations in four years (Fluidigm to SomaLogic merger to Standard BioTools rebrand to SomaScan divestiture to pending Treeline merger) without establishing a coherent, enduring purpose. Leadership instability (nearly complete team turnover under CEO Egholm), severely negative Glassdoor culture scores, and survival-driven pivots suggest an organization playing to avoid losing rather than playing to keep playing. The 78% improvement in adjusted EBITDA loss signals operational discipline but not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stated purpose of enabling scientific discovery is genuine but generic — it does not differentiate Standard BioTools from any other life sciences tools company [3]. The company's identity has been in constant flux: Fluidigm to SomaLogic merger to Standard BioTools rebrand to SomaScan divestiture to pending Treeline reverse merger, all within four years. Sinek would note the absence of a north star connecting these decisions to a coherent vision of the future. The Treeline merger will create an entirely new company (ticker TRLN), further erasing any continuity of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is deeply compromised. Glassdoor reviews show a 29% recommendation rate and 2.5/5 culture score, with employees stating the $250M investment and rebranding 'changed basically nothing of its root issues' [3]. The company has undergone 'nearly complete change in leadership team' with 'lots of attrition and layoffs' creating 'a massive knowledge gap.' While CEO Egholm (former Danaher CTO) has brought operational rigor and cut the EBITDA loss by 78%, this has come through cost-cutting rather than culture-building. Sinek would identify this as a low-trust environment where survival concerns override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for self-improvement. The divestiture of SomaScan to Illumina could be interpreted as recognizing a rival's superior commercialization ability, but the company's competitive posture appears defensive and survival-oriented rather than growth-oriented.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Standard BioTools has demonstrated willingness to make dramatic portfolio changes — divesting SomaScan to Illumina in January 2026 and agreeing to a reverse merger with Treeline Biosciences in June 2026 that will transform the company entirely [1][2]. The combined entity will operate under a new name (Treeline Biosciences) and new ticker (TRLN). This represents genuine existential flexibility — but the pivots appear driven by financial necessity and market survival rather than a purposeful Just Cause, which Sinek would distinguish from true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Michael Egholm made the difficult decision to divest SomaScan to Illumina and accept a smaller $80-85M revenue base to focus on the CyTOF and Hyperion platforms where Standard BioTools has genuine technological differentiation [1][2]. The subsequent Treeline reverse merger represents another bold strategic bet — accepting ~84% dilution in exchange for combining with a clinical-stage biotech with $2.5B valuation. OpEx was cut 37% to $23.8M in Q1 2026, showing willingness to make painful restructuring decisions. These moves show courage to sacrifice near-term scale for long-term positioning, though the track record of delivering results is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Standard BioTools owns category-defining CyTOF mass cytometry technology with no direct competitor in metal-tagged single-cell proteomics, and the Hyperion spatial biology platform addresses a fast-growing market [3]. Following the SomaScan divestiture, the company holds approximately $550M in cash and investments against only $29.5M debt, providing over $520M in net cash [5]. Q1 2026 revenue of $21.1M (+5% YoY) shows stabilization with consumables up 35%, and adjusted EBITDA loss improved 78% to just $3.1M, demonstrating meaningful operational progress toward breakeven under CEO Egholm [2]. The pending Treeline Biosciences reverse merger values the combined entity at ~$2.5B with $900M pro-forma cash expected to fund operations into 2029. An Inspire score of +53 (ALIGNED) provides faith compatibility.</w:t>
      </w:r>
    </w:p>
    <w:p>
      <w:pPr>
        <w:spacing w:after="120"/>
      </w:pPr>
      <w:r>
        <w:rPr>
          <w:rFonts w:ascii="Calibri" w:hAnsi="Calibri"/>
          <w:b w:val="0"/>
          <w:color w:val="3A4A28"/>
          <w:sz w:val="20"/>
        </w:rPr>
        <w:t>The bear case remains substantial despite the improved balance sheet and operational progress. The operating business generates only $80-85M in guided revenue with deeply negative operating margins, meaning the market values the instruments business at roughly zero — the stock trades near net cash value [1][2]. Standard BioTools shareholders will own only ~16% of the combined Treeline entity, representing massive dilution of the existing business. The Treeline merger is a clinical-stage biotech bet with all the attendant risks of drug development failure. Glassdoor culture scores (29% recommendation rate, 2.5/5 culture) indicate organizational dysfunction during a critical transition period [3]. While instruments revenue declined 33% in Q1 2026, consumables growth of 35% suggests installed-base utilization may be improving — but the instrument revenue decline signals weak new placements. Competing against Illumina (which now owns SomaScan), Thermo Fisher, and 10x Genomics with 385 employees remains an existential scale mismatch. Litigation risk from the SomaLogic merger prospectus lawsuit adds governance uncertainty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Treeline Biosciences reverse merger expected to close H2 2026, creating a combined entity with $900M pro-forma cash, clinical-stage drug pipeline, and Standard BioTools' instrumentation platforms under ticker TRLN</w:t>
      </w:r>
    </w:p>
    <w:p>
      <w:pPr>
        <w:spacing w:before="40" w:after="40"/>
        <w:ind w:left="283"/>
      </w:pPr>
      <w:r>
        <w:rPr>
          <w:rFonts w:ascii="Calibri" w:hAnsi="Calibri"/>
          <w:b/>
          <w:color w:val="4A6B25"/>
          <w:sz w:val="20"/>
        </w:rPr>
        <w:t xml:space="preserve">2. </w:t>
      </w:r>
      <w:r>
        <w:rPr>
          <w:rFonts w:ascii="Calibri" w:hAnsi="Calibri"/>
          <w:b w:val="0"/>
          <w:color w:val="3A4A28"/>
          <w:sz w:val="20"/>
        </w:rPr>
        <w:t>Adjusted EBITDA loss narrowed 78% to $3.1M in Q1 2026 with OpEx cut 37% to $23.8M — continued progress toward breakeven could re-rate the instruments business from zero implied value</w:t>
      </w:r>
    </w:p>
    <w:p>
      <w:pPr>
        <w:spacing w:before="40" w:after="40"/>
        <w:ind w:left="283"/>
      </w:pPr>
      <w:r>
        <w:rPr>
          <w:rFonts w:ascii="Calibri" w:hAnsi="Calibri"/>
          <w:b/>
          <w:color w:val="4A6B25"/>
          <w:sz w:val="20"/>
        </w:rPr>
        <w:t xml:space="preserve">3. </w:t>
      </w:r>
      <w:r>
        <w:rPr>
          <w:rFonts w:ascii="Calibri" w:hAnsi="Calibri"/>
          <w:b w:val="0"/>
          <w:color w:val="3A4A28"/>
          <w:sz w:val="20"/>
        </w:rPr>
        <w:t>Consumables revenue up 35% YoY to $11.0M in Q1 2026, signaling improving CyTOF/Hyperion installed-base utilization and growing recurring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Standard BioTools shareholders receive only ~16% of the combined Treeline entity — massive dilution that transforms this from an instruments company investment into a clinical-stage biotech bet with binary drug development outcomes</w:t>
      </w:r>
    </w:p>
    <w:p>
      <w:pPr>
        <w:spacing w:before="40" w:after="40"/>
        <w:ind w:left="283"/>
      </w:pPr>
      <w:r>
        <w:rPr>
          <w:rFonts w:ascii="Calibri" w:hAnsi="Calibri"/>
          <w:b/>
          <w:color w:val="4A6B25"/>
          <w:sz w:val="20"/>
        </w:rPr>
        <w:t xml:space="preserve">2. </w:t>
      </w:r>
      <w:r>
        <w:rPr>
          <w:rFonts w:ascii="Calibri" w:hAnsi="Calibri"/>
          <w:b w:val="0"/>
          <w:color w:val="3A4A28"/>
          <w:sz w:val="20"/>
        </w:rPr>
        <w:t>Operating margins remain deeply negative on $80-85M revenue guidance — if the Treeline deal fails or is delayed, downside is to net cash value (~$520M) and the instruments business must independently demonstrate viability</w:t>
      </w:r>
    </w:p>
    <w:p>
      <w:pPr>
        <w:spacing w:before="40" w:after="40"/>
        <w:ind w:left="283"/>
      </w:pPr>
      <w:r>
        <w:rPr>
          <w:rFonts w:ascii="Calibri" w:hAnsi="Calibri"/>
          <w:b/>
          <w:color w:val="4A6B25"/>
          <w:sz w:val="20"/>
        </w:rPr>
        <w:t xml:space="preserve">3. </w:t>
      </w:r>
      <w:r>
        <w:rPr>
          <w:rFonts w:ascii="Calibri" w:hAnsi="Calibri"/>
          <w:b w:val="0"/>
          <w:color w:val="3A4A28"/>
          <w:sz w:val="20"/>
        </w:rPr>
        <w:t>Severe organizational dysfunction (29% Glassdoor recommendation, nearly complete leadership turnover, 'massive knowledge gap') threatens execution during the company's most complex corporate transaction, compounded by merger prospectus litigation risk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Standard BioTools' core business — mass cytometry instruments, spatial biology platforms, and microfluidic consumables — involves complex physical laboratory hardware and proprietary reagent chemistry that AI cannot replicate [3]. The instruments require wet-lab biological sample processing and physical interaction with cells that is structurally immune to software substitution. However, AI-driven computational biology tools could reduce the number of experiments researchers need to run, potentially compressing instrument utilization and consumables demand. Additionally, competitors like Illumina (which now owns SomaScan) could integrate AI-enhanced analytics that make Standard BioTools' remaining platforms less differentiated. The company's small scale (385 employees, $85M revenue) makes it particularly vulnerable to competitors with larger AI engineering teams. AI Opportunity (0/1): While CyTOF and Hyperion platforms generate high-dimensional data increasingly analyzed using AI/ML tools, Standard BioTools does not report specific AI-attributable revenue figures or percentages from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Standard BioTools Q4/FY2025 Results — Revenue $85.3M (-6.2% YoY), SomaScan Divestiture to Illumina, FY2026 Guidance $80-85M, SEC Form 8-K, February 2026</w:t>
      </w:r>
    </w:p>
    <w:p>
      <w:pPr>
        <w:spacing w:before="20" w:after="20"/>
        <w:ind w:left="170"/>
      </w:pPr>
      <w:r>
        <w:rPr>
          <w:rFonts w:ascii="Calibri" w:hAnsi="Calibri"/>
          <w:b/>
          <w:color w:val="4A6B25"/>
          <w:sz w:val="15"/>
        </w:rPr>
        <w:t xml:space="preserve">2. </w:t>
      </w:r>
      <w:r>
        <w:rPr>
          <w:rFonts w:ascii="Calibri" w:hAnsi="Calibri"/>
          <w:b w:val="0"/>
          <w:color w:val="3A4A28"/>
          <w:sz w:val="17"/>
        </w:rPr>
        <w:t>Standard BioTools Q1 2026 Results — Revenue $21.1M (+5% YoY), Consumables +35%, Instruments -33%, EBITDA Loss Improved 78% to $3.1M, OpEx Cut 37%,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Standard BioTools Leadership and Culture — CEO Michael Egholm (former Danaher CTO), Glassdoor 29% Recommendation, AI/ML Roadmap, 2025-2026</w:t>
      </w:r>
    </w:p>
    <w:p>
      <w:pPr>
        <w:spacing w:before="20" w:after="20"/>
        <w:ind w:left="170"/>
      </w:pPr>
      <w:r>
        <w:rPr>
          <w:rFonts w:ascii="Calibri" w:hAnsi="Calibri"/>
          <w:b/>
          <w:color w:val="4A6B25"/>
          <w:sz w:val="15"/>
        </w:rPr>
        <w:t xml:space="preserve">4. </w:t>
      </w:r>
      <w:r>
        <w:rPr>
          <w:rFonts w:ascii="Calibri" w:hAnsi="Calibri"/>
          <w:b w:val="0"/>
          <w:color w:val="3A4A28"/>
          <w:sz w:val="17"/>
        </w:rPr>
        <w:t>Standard BioTools ESG and Governance — UN Global Compact Alignment, SomaLogic Merger Prospectus Lawsuit, SEC Filings,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and Simply Wall St — LAB Statistics: Stock $1.15, D/E 5%, Cash ~$550M, Treeline Merger $2.5B Combined,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