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72322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7232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40"/>
      </w:pPr>
      <w:r>
        <w:rPr>
          <w:rFonts w:ascii="Calibri" w:hAnsi="Calibri"/>
          <w:b/>
          <w:color w:val="4A6B25"/>
          <w:sz w:val="56"/>
        </w:rPr>
        <w:t>LBGJ</w:t>
      </w:r>
      <w:r>
        <w:rPr>
          <w:rFonts w:ascii="Calibri" w:hAnsi="Calibri"/>
          <w:b/>
          <w:color w:val="1A2010"/>
          <w:sz w:val="40"/>
        </w:rPr>
        <w:t xml:space="preserve">  Li Bang International Corporation Inc.</w:t>
      </w:r>
    </w:p>
    <w:p>
      <w:pPr>
        <w:spacing w:after="120"/>
      </w:pPr>
      <w:r>
        <w:rPr>
          <w:rFonts w:ascii="Calibri" w:hAnsi="Calibri"/>
          <w:b/>
          <w:color w:val="6E8450"/>
          <w:sz w:val="18"/>
        </w:rPr>
        <w:t>GROWTH SLEEVE · 2026-10-03 · Inspire: 0 · FINITE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1200" w:type="dxa"/>
      </w:tblPr>
      <w:tblGrid>
        <w:gridCol w:w="10800"/>
      </w:tblGrid>
      <w:tr>
        <w:tc>
          <w:tcPr>
            <w:tcW w:type="dxa" w:w="10800"/>
            <w:shd w:fill="FFEBEE" w:val="clear"/>
          </w:tcPr>
          <w:p>
            <w:pPr>
              <w:spacing w:before="40" w:after="40"/>
              <w:jc w:val="center"/>
            </w:pPr>
            <w:r>
              <w:rPr>
                <w:rFonts w:ascii="Calibri" w:hAnsi="Calibri"/>
                <w:b/>
                <w:color w:val="DC2626"/>
                <w:sz w:val="20"/>
              </w:rPr>
              <w:t>SELL</w:t>
            </w:r>
          </w:p>
        </w:tc>
      </w:tr>
    </w:tbl>
    <w:p>
      <w:pPr>
        <w:spacing w:before="120" w:after="200"/>
      </w:pPr>
      <w:r>
        <w:rPr>
          <w:rFonts w:ascii="Calibri" w:hAnsi="Calibri"/>
          <w:b/>
          <w:color w:val="1A2010"/>
          <w:sz w:val="80"/>
        </w:rPr>
        <w:t>29</w:t>
      </w:r>
      <w:r>
        <w:rPr>
          <w:rFonts w:ascii="Calibri" w:hAnsi="Calibri"/>
          <w:b w:val="0"/>
          <w:color w:val="9DAF88"/>
          <w:sz w:val="28"/>
        </w:rPr>
        <w:t xml:space="preserve"> / </w:t>
      </w:r>
      <w:r>
        <w:rPr>
          <w:rFonts w:ascii="Calibri" w:hAnsi="Calibri"/>
          <w:b w:val="0"/>
          <w:color w:val="9DAF88"/>
          <w:sz w:val="24"/>
        </w:rPr>
        <w:t>100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COMPANY PROFILE</w:t>
            </w:r>
          </w:p>
        </w:tc>
      </w:tr>
    </w:tbl>
    <w:p>
      <w:r>
        <w:rPr>
          <w:rFonts w:ascii="Calibri" w:hAnsi="Calibri"/>
          <w:b/>
          <w:color w:val="6E8450"/>
          <w:sz w:val="18"/>
        </w:rPr>
        <w:t>Industrials · Specialty Industrial Machinery · NASDAQ · China</w:t>
      </w:r>
    </w:p>
    <w:p>
      <w:pPr>
        <w:spacing w:after="80"/>
      </w:pPr>
      <w:r>
        <w:rPr>
          <w:rFonts w:ascii="Calibri" w:hAnsi="Calibri"/>
          <w:b w:val="0"/>
          <w:color w:val="3A4A28"/>
          <w:sz w:val="20"/>
        </w:rPr>
        <w:t>Li Bang International designs, develops, produces and sells stainless-steel commercial kitchen equipment under the Li Bang brand in China, based in Jiangyin and founded in 1992. FY2025 revenue was $11.11M (+2.9% YoY) with a TTM net loss of about $1.0M; the company IPO'd on Nasdaq in October 2024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EXCELLENCE EVALUATION — THINK LIKE AN OWNER (50%)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Innovation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Track Record (1/3): modest product refreshes in commercial kitchen equipment with no significant launches or pivots found [1]. AI Deployment (0/2): none found. Market Share (0/2): small regional manufacturer with $11M revenue and no share data. Product Pipeline (0/2): no named next-generation products. R&amp;D Intensity (0/1): no data showing above-average spend.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Inspiration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1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551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961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Mission Floor (1/4): generic commercial-kitchen manufacturer positioning with no distinctive purpose found. Community Impact (0/2), Employee Retention (0/2) and Insider Buying (0/2): no evidence found in searches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Infrastructure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DC2626"/>
          <w:sz w:val="16"/>
        </w:rPr>
        <w:t xml:space="preserve"> WEAK 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Mechanically scored as a Growth stock on available metrics (forward P/E, 5yr CAGR and PEG unavailable). D/E of 136% scores 0.71, revenue growth of -9.6% scores 0.35, while ROE of -16.8% (2x weight) and a -9.1% profit margin score 0.0. Weighted 1.06/5 yields 2. Dollar volume of ~$1.49M narrowly clears the $1M liquidity floor [1].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FINITE VS INFINITE GAME — SINEK (25%)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Mindset: </w:t>
      </w:r>
      <w:r>
        <w:rPr>
          <w:rFonts w:ascii="Calibri" w:hAnsi="Calibri"/>
          <w:b/>
          <w:color w:val="DC2626"/>
          <w:sz w:val="22"/>
        </w:rPr>
        <w:t>FINITE</w:t>
      </w:r>
      <w:r>
        <w:rPr>
          <w:rFonts w:ascii="Calibri" w:hAnsi="Calibri"/>
          <w:b w:val="0"/>
          <w:color w:val="6E8450"/>
          <w:sz w:val="22"/>
        </w:rPr>
        <w:t xml:space="preserve">      Overall: </w:t>
      </w: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p>
      <w:pPr>
        <w:spacing w:after="120"/>
      </w:pPr>
      <w:r>
        <w:rPr>
          <w:rFonts w:ascii="Calibri" w:hAnsi="Calibri"/>
          <w:b w:val="0"/>
          <w:color w:val="3A4A28"/>
          <w:sz w:val="18"/>
        </w:rPr>
        <w:t>Li Bang is a small, recently listed Chinese manufacturer with no articulated cause beyond selling kitchen equipment, no evidence of costly long-term bets, and a declining top line. There is too little public evidence of an infinite-game posture.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Just Cause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4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2205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307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Just Cause (1/3): generic manufacturing positioning with no distinctive cause found [2].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Trusting Teams</w:t>
      </w:r>
    </w:p>
    <w:p>
      <w:pPr>
        <w:spacing w:before="0" w:after="40"/>
      </w:pPr>
      <w:r>
        <w:rPr>
          <w:rFonts w:ascii="Calibri" w:hAnsi="Calibri"/>
          <w:b/>
          <w:color w:val="B8860B"/>
          <w:sz w:val="28"/>
        </w:rPr>
        <w:t>6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307"/>
            <w:shd w:fill="B8860B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2205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Trusting Teams (1/2): stable small company, but no culture or retention data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Worthy Rivals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3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654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3858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Worthy Rivals (0/1): no competitive-mindset evidence found.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Existential Flexibility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Existential Flexibility (0/2): no pivot evident since founding in 1992.</w:t>
      </w:r>
    </w:p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Courage To Lead</w:t>
      </w:r>
    </w:p>
    <w:p>
      <w:pPr>
        <w:spacing w:before="0" w:after="40"/>
      </w:pPr>
      <w:r>
        <w:rPr>
          <w:rFonts w:ascii="Calibri" w:hAnsi="Calibri"/>
          <w:b/>
          <w:color w:val="DC2626"/>
          <w:sz w:val="28"/>
        </w:rPr>
        <w:t>2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1102"/>
            <w:shd w:fill="DC2626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4409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Courage to Lead (0/2): no evidence of sacrificing near-term results for long-term capability.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INVESTMENT THESIS</w:t>
            </w:r>
          </w:p>
        </w:tc>
      </w:tr>
    </w:tbl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Li Bang trades at $2.03 with FY2025 revenue of $11.11M (+2.9%) and a Q-level revenue of $3.14M in a recent 2026 quarter, offering exposure to Chinese commercial kitchen equipment demand at a micro-cap valuation [1]. Debt-to-equity of 136% is manageable relative to peers and the recent trading breakout drew speculative interest.</w:t>
      </w:r>
    </w:p>
    <w:p>
      <w:pPr>
        <w:spacing w:after="120"/>
      </w:pPr>
      <w:r>
        <w:rPr>
          <w:rFonts w:ascii="Calibri" w:hAnsi="Calibri"/>
          <w:b w:val="0"/>
          <w:color w:val="3A4A28"/>
          <w:sz w:val="20"/>
        </w:rPr>
        <w:t>Profitability is negative: ROE of -16.8%, profit margin of -9.1%, revenue down 9.6% on the latest yfinance read, and a reported EPS of -$1.28 in a recent quarter [1]. Dollar volume of ~$1.5M sits barely above the liquidity floor, and recent volume of 39,740 shares suggests it can fall below it. Sparse disclosure, China regulatory risk and likely dilution compound the risk.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16A34A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CATALYSTS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Recovery in Chinese food-service capex lifting commercial kitchen equipment orders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Path to breakeven from a TTM net loss of about $1.0M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Liquidity and visibility gains from continued Nasdaq listing [1]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DC2626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KEY RISKS</w:t>
            </w:r>
          </w:p>
        </w:tc>
      </w:tr>
    </w:tbl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1. </w:t>
      </w:r>
      <w:r>
        <w:rPr>
          <w:rFonts w:ascii="Calibri" w:hAnsi="Calibri"/>
          <w:b w:val="0"/>
          <w:color w:val="3A4A28"/>
          <w:sz w:val="20"/>
        </w:rPr>
        <w:t>Revenue decline of 9.6% and negative ROE of -16.8%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2. </w:t>
      </w:r>
      <w:r>
        <w:rPr>
          <w:rFonts w:ascii="Calibri" w:hAnsi="Calibri"/>
          <w:b w:val="0"/>
          <w:color w:val="3A4A28"/>
          <w:sz w:val="20"/>
        </w:rPr>
        <w:t>Illiquidity: recent volume of ~40K shares and dollar volume near the $1M floor [1]</w:t>
      </w:r>
    </w:p>
    <w:p>
      <w:pPr>
        <w:spacing w:before="40" w:after="40"/>
        <w:ind w:left="283"/>
      </w:pPr>
      <w:r>
        <w:rPr>
          <w:rFonts w:ascii="Calibri" w:hAnsi="Calibri"/>
          <w:b/>
          <w:color w:val="4A6B25"/>
          <w:sz w:val="20"/>
        </w:rPr>
        <w:t xml:space="preserve">3. </w:t>
      </w:r>
      <w:r>
        <w:rPr>
          <w:rFonts w:ascii="Calibri" w:hAnsi="Calibri"/>
          <w:b w:val="0"/>
          <w:color w:val="3A4A28"/>
          <w:sz w:val="20"/>
        </w:rPr>
        <w:t>China-based operations, thin disclosure and potential dilution [2]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AI RESILIENCE (25%)</w:t>
            </w:r>
          </w:p>
        </w:tc>
      </w:tr>
    </w:tbl>
    <w:p>
      <w:pPr>
        <w:spacing w:before="200" w:after="40"/>
      </w:pPr>
      <w:r>
        <w:rPr>
          <w:rFonts w:ascii="Calibri" w:hAnsi="Calibri"/>
          <w:b/>
          <w:color w:val="1A2010"/>
          <w:sz w:val="22"/>
        </w:rPr>
        <w:t>AI Resilience</w:t>
      </w:r>
      <w:r>
        <w:rPr>
          <w:rFonts w:ascii="Calibri" w:hAnsi="Calibri"/>
          <w:b w:val="0"/>
          <w:color w:val="1A2010"/>
          <w:sz w:val="22"/>
        </w:rPr>
        <w:t xml:space="preserve">  </w:t>
      </w:r>
      <w:r>
        <w:rPr>
          <w:rFonts w:ascii="Calibri" w:hAnsi="Calibri"/>
          <w:b/>
          <w:color w:val="B8860B"/>
          <w:sz w:val="16"/>
        </w:rPr>
        <w:t xml:space="preserve"> MODERATE </w:t>
      </w:r>
    </w:p>
    <w:p>
      <w:pPr>
        <w:spacing w:before="0" w:after="40"/>
      </w:pPr>
      <w:r>
        <w:rPr>
          <w:rFonts w:ascii="Calibri" w:hAnsi="Calibri"/>
          <w:b/>
          <w:color w:val="16A34A"/>
          <w:sz w:val="28"/>
        </w:rPr>
        <w:t>7</w:t>
      </w:r>
      <w:r>
        <w:rPr>
          <w:rFonts w:ascii="Calibri" w:hAnsi="Calibri"/>
          <w:b w:val="0"/>
          <w:color w:val="9DAF88"/>
          <w:sz w:val="18"/>
        </w:rPr>
        <w:t xml:space="preserve"> /10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3500" w:type="dxa"/>
      </w:tblPr>
      <w:tblGrid>
        <w:gridCol w:w="5400"/>
        <w:gridCol w:w="5400"/>
      </w:tblGrid>
      <w:tr>
        <w:trPr>
          <w:trHeight w:val="170"/>
        </w:trPr>
        <w:tc>
          <w:tcPr>
            <w:tcW w:type="dxa" w:w="3858"/>
            <w:shd w:fill="16A34A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  <w:tc>
          <w:tcPr>
            <w:tcW w:type="dxa" w:w="1654"/>
            <w:shd w:fill="EDEFE8" w:val="clear"/>
          </w:tcPr>
          <w:p>
            <w:pPr>
              <w:spacing w:before="0" w:after="0"/>
            </w:pPr>
            <w:r>
              <w:rPr>
                <w:rFonts w:ascii="Calibri" w:hAnsi="Calibri"/>
                <w:b w:val="0"/>
                <w:color w:val="1A2010"/>
                <w:sz w:val="4"/>
              </w:rPr>
            </w:r>
          </w:p>
        </w:tc>
      </w:tr>
    </w:tbl>
    <w:p>
      <w:pPr>
        <w:spacing w:before="60" w:after="120"/>
      </w:pPr>
      <w:r>
        <w:rPr>
          <w:rFonts w:ascii="Calibri" w:hAnsi="Calibri"/>
          <w:b w:val="0"/>
          <w:color w:val="3A4A28"/>
          <w:sz w:val="18"/>
        </w:rPr>
        <w:t>AI Risk Protection (7/9): stainless-steel kitchen equipment manufacturing is physical and not displaceable by AI; no analyst coverage flags AI risk, though thin coverage limits evidence [1]. AI Opportunity (0/1): no AI revenue.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FAITH ALIGNMENT — INSPIRE INSIGHT</w:t>
            </w:r>
          </w:p>
        </w:tc>
      </w:tr>
    </w:tbl>
    <w:p>
      <w:pPr>
        <w:spacing w:after="40"/>
      </w:pPr>
      <w:r>
        <w:rPr>
          <w:rFonts w:ascii="Calibri" w:hAnsi="Calibri"/>
          <w:b w:val="0"/>
          <w:color w:val="6E8450"/>
          <w:sz w:val="22"/>
        </w:rPr>
        <w:t xml:space="preserve">Inspire Impact Score:  </w:t>
      </w:r>
      <w:r>
        <w:rPr>
          <w:rFonts w:ascii="Calibri" w:hAnsi="Calibri"/>
          <w:b/>
          <w:color w:val="16A34A"/>
          <w:sz w:val="28"/>
        </w:rPr>
        <w:t>0</w:t>
      </w:r>
      <w:r>
        <w:rPr>
          <w:rFonts w:ascii="Calibri" w:hAnsi="Calibri"/>
          <w:b/>
          <w:color w:val="B8860B"/>
          <w:sz w:val="20"/>
        </w:rPr>
        <w:t xml:space="preserve">    MIXED</w:t>
      </w:r>
    </w:p>
    <w:p>
      <w:pPr>
        <w:spacing w:before="120"/>
      </w:pPr>
      <w:r>
        <w:rPr>
          <w:rFonts w:ascii="Calibri" w:hAnsi="Calibri"/>
          <w:b w:val="0"/>
          <w:color w:val="9DAF88"/>
          <w:sz w:val="15"/>
        </w:rPr>
        <w:t>Source: Inspire Insight</w:t>
      </w:r>
    </w:p>
    <w:tbl>
      <w:tblPr>
        <w:jc w:val="left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800"/>
      </w:tblGrid>
      <w:tr>
        <w:tc>
          <w:tcPr>
            <w:tcW w:type="dxa" w:w="10800"/>
            <w:tcBorders>
              <w:bottom w:val="single" w:sz="8" w:space="0" w:color="B8860B"/>
            </w:tcBorders>
          </w:tcPr>
          <w:p>
            <w:pPr>
              <w:spacing w:before="240" w:after="80"/>
            </w:pPr>
            <w:r>
              <w:rPr>
                <w:rFonts w:ascii="Calibri" w:hAnsi="Calibri"/>
                <w:b/>
                <w:color w:val="6E8450"/>
                <w:sz w:val="17"/>
              </w:rPr>
              <w:t>RESOURCES</w:t>
            </w:r>
          </w:p>
        </w:tc>
      </w:tr>
    </w:tbl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1. </w:t>
      </w:r>
      <w:r>
        <w:rPr>
          <w:rFonts w:ascii="Calibri" w:hAnsi="Calibri"/>
          <w:b w:val="0"/>
          <w:color w:val="3A4A28"/>
          <w:sz w:val="17"/>
        </w:rPr>
        <w:t>Li Bang International financial data — StockAnalysis, Simply Wall St, Daily Political (May 2026), 2026</w:t>
      </w:r>
    </w:p>
    <w:p>
      <w:pPr>
        <w:spacing w:before="20" w:after="20"/>
        <w:ind w:left="170"/>
      </w:pPr>
      <w:r>
        <w:rPr>
          <w:rFonts w:ascii="Calibri" w:hAnsi="Calibri"/>
          <w:b/>
          <w:color w:val="4A6B25"/>
          <w:sz w:val="15"/>
        </w:rPr>
        <w:t xml:space="preserve">2. </w:t>
      </w:r>
      <w:r>
        <w:rPr>
          <w:rFonts w:ascii="Calibri" w:hAnsi="Calibri"/>
          <w:b w:val="0"/>
          <w:color w:val="3A4A28"/>
          <w:sz w:val="17"/>
        </w:rPr>
        <w:t>ESG search returned no company-specific information; Inspire data from CSV (score 0), October 2026</w:t>
      </w:r>
    </w:p>
    <w:p>
      <w:pPr>
        <w:spacing w:before="400"/>
        <w:jc w:val="center"/>
      </w:pPr>
      <w:r>
        <w:rPr>
          <w:rFonts w:ascii="Calibri" w:hAnsi="Calibri"/>
          <w:b w:val="0"/>
          <w:color w:val="9DAF88"/>
          <w:sz w:val="16"/>
        </w:rPr>
        <w:t>Paradiem, LLC dba Intentional Ownership (“IOWN”) is a registered investment advisor. The information provided is for educational and informational purposes only and does not constitute investment advice.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