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LBRT</w:t>
      </w:r>
      <w:r>
        <w:rPr>
          <w:rFonts w:ascii="Calibri" w:hAnsi="Calibri"/>
          <w:b/>
          <w:color w:val="1A2010"/>
          <w:sz w:val="40"/>
        </w:rPr>
        <w:t xml:space="preserve">  Liberty Energy Inc.</w:t>
      </w:r>
    </w:p>
    <w:p>
      <w:pPr>
        <w:spacing w:after="120"/>
      </w:pPr>
      <w:r>
        <w:rPr>
          <w:rFonts w:ascii="Calibri" w:hAnsi="Calibri"/>
          <w:b/>
          <w:color w:val="6E8450"/>
          <w:sz w:val="18"/>
        </w:rPr>
        <w:t>GROWTH SLEEVE · 2026-08-28 · Inspire: 17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Liberty Energy is North America's second-largest hydraulic fracturing company, providing integrated oilfield services including hydraulic fracturing, wireline, and related completions services. The company operates conventional and next-generation electric (digiFrac) fracturing fleets and is expanding into distributed power generation services for AI/data centers. Founded in 2011 by Chris Wright (now U.S. Secretary of Energy), with Ron Gusek as CEO since February 2025. Q2 2026 revenue reached $1.2B (+14% YoY), driven by record utilization and power business growth, though net income declined to $43M from $71M in Q2 2025. FY2026 revenue forecast raised to $4.31B.</w:t>
      </w:r>
    </w:p>
    <w:p>
      <w:r>
        <w:rPr>
          <w:rFonts w:ascii="Calibri" w:hAnsi="Calibri"/>
          <w:b/>
          <w:color w:val="6E8450"/>
          <w:sz w:val="18"/>
        </w:rPr>
        <w:t>5,800 Employees · https://www.libertyenergy.com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Liberty developed the digiFrac electric fracturing fleet, reducing emissions and fuel costs while improving performance, and partnered with Cummins on an industry-first variable speed, large displacement natural gas engine-powered frac system [1][2]. The company is expanding into distributed power generation services for AI/data centers, opening a new revenue stream beyond traditional completions. Product sales composition shifted with power-related services contributing to the record Q2 revenue. These represent meaningful innovation within the oilfield services space, though the core business model remains hydraulic fracturing. AI Deployment (0/2): No AI-powered products or quantified AI-driven cost savings were found. Liberty's operations are physically intensive, with innovation focused on mechanical/engineering advancement (electric fleets, natural gas engines) rather than AI integration [1]. Market Share (2/2): Liberty is the second-largest hydraulic fracturing company in North America — a clear leadership position in a concentrated industry with only a handful of scaled players (Halliburton, ProPetro, Patterson-UTI) [1]. Q2 2026 achieved record fleet utilization, indicating strong competitive positioning. Product Pipeline (1/2): Distributed power services for data centers, expanded digiFrac deployment, Cummins natural gas engine partnership — specific products in development but limited public timeline and revenue visibility beyond general management commentary about AI/data center demand [1][2]. R&amp;D Intensity (1/1): Liberty pioneered hydraulic fracture mapping technology and has built every new fleet as low-emission since 2013, developing proprietary quiet fleet, dual-fuel, and electric frac technologies above industry norms for investment in next-generation equipment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Liberty Energy's purpose centers on 'Bettering Human Lives' through energy innovation — founder Chris Wright wrote an extensive corporate report arguing that affordable energy is the single greatest tool for reducing global poverty, a genuinely thoughtful and distinctive position that connects the company's work to human development beyond profit [2][3]. Wright testified before Congress on this vision and took politically costly stands opposing SEC climate disclosure rules and ESG-focused investing regulations. This differentiates Liberty from typical oilfield services corporate boilerplate, and the power business expansion into data center services demonstrates strategic alignment with the mission. Community Impact (0/2): Liberty employs 5,800 people across North American operations, but no significant charitable foundation, community investment programs, or distinctive social impact initiatives were identified beyond general industry employment [1]. Employee Retention (1/2): The founding management team has an average of over 20 years of energy services experience, with the majority having worked together before founding the company [2]. The orderly CEO transition from Wright to Ron Gusek (promoted from within after a long tenure) demonstrates succession planning and team stability. No specific turnover or engagement data found. Insider Buying (0/2): Net insider selling identified — R. Elliott sold ~25,000 shares in early 2026. No meaningful net insider buying found during the leadership transition period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82.14% scores 0.95 — manageable leverage for a capital-intensive services business with significant equipment financing [4]. Revenue growth has recovered strongly: Q2 2026 was +14% YoY with FY2026 forecast raised to $4.31B, scoring 1.0 for YoY growth, and the 5-year revenue CAGR of approximately 12% also scores 1.0 (on 2x weight) [1]. However, profitability remains thin: net income declined to $43M in Q2 from $71M a year earlier, with profit margin of 2.92% scoring 0.15 and ROE of 6.12% scoring 0.41 (on 2x weight) [4]. Forward P/E of 191x (reflecting near-zero forward GAAP EPS estimates) is excluded from the calculation as it appears distorted by one-time items and cyclical trough earnings. Forward PEG also excluded. Liquidity clears the floor at approximately $99M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Liberty Energy under Ron Gusek inherits meaningful infinite game qualities from founder Chris Wright's 'Bettering Human Lives' vision — the expansion into distributed power services for data centers, continued investment in cleaner frac technology, and the genuine energy-access philosophy all suggest a purpose beyond quarterly optimization [2]. However, the company operates in a cyclical commodity-linked industry where financial results are dominated by oil and gas drilling cycles, and the Just Cause has not yet been tested under the new CEO through a significant downturn. The departure of mission-carrier Chris Wright to government service creates uncertainty about how deeply the purpose is embedded in the organization versus being Wright's personal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Liberty has a genuine and distinctive purpose — 'Bettering Human Lives' through affordable, accessible energy — that was deeply articulated by founder Chris Wright through corporate reports, Congressional testimony, and politically costly opposition to ESG regulations [2][3]. This purpose has driven strategic decisions: investing in cleaner frac technology (every fleet low-emission since 2013), expanding into power generation for data centers, and the Cummins partnership for natural gas engines. The Q2 2026 expansion into distributed power services demonstrates the cause still influences strategy under CEO Gusek. However, Wright's departure to become Secretary of Energy means the primary cause-carrier is no longer at the company, and the purpose hasn't yet been tested through crisis under new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Liberty's founding management team has an average of 20+ years of energy services experience, with most having worked together before founding the company in 2011 [2]. The orderly CEO transition from Wright to Ron Gusek (promoted from within) suggests organizational stability and succession planning. Q2 2026's record fleet utilization indicates strong operational execution by frontline teams. However, with 5,800 employees in a physically demanding, cyclical industry, workforce turnover is likely elevated, and no specific retention or cultural data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Liberty competes in a highly competitive oilfield services market against Halliburton, ProPetro, and Patterson-UTI. The competitive language in earnings commentary and industry coverage focuses on market share, fleet count, utilization rates, and pricing power — typical finite game metrics [1]. No evidence of Liberty framing competitors as worthy rivals whose strengths inform self-improvement. Wright's approach was more about defending the entire energy industry against critics than learning from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Liberty is expanding beyond pure hydraulic fracturing into distributed power generation services for AI/data centers, leveraging its fleet of natural gas-powered equipment and energy infrastructure expertise [1]. The 2022 rebrand from Liberty Oilfield Services to Liberty Energy signaled strategic ambition, and Q2 2026 demonstrated 'power growth' as a meaningful revenue contributor. The Cummins partnership for natural gas engine-powered frac systems shows willingness to adopt new technology platforms. However, these are incremental evolutions within the energy services ecosystem,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Liberty invested in digiFrac electric frac fleets and natural gas engine technology ahead of regulation, accepting higher upfront equipment costs for long-term competitive positioning and emissions reduction [1][2]. Chris Wright took politically controversial stands opposing SEC climate rules and ESG investing regulations, writing the 'Bettering Human Lives' report that argued fossil fuels are key to poverty reduction — actions that cost the company ESG-focused investor attention but demonstrated conviction. The expansion into power services represents forward-looking investment. However, Wright is no longer at the company, and Gusek's courage has not been tested.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Energy is North America's second-largest hydraulic fracturing company executing a meaningful recovery — Q2 2026 revenue surged to $1.2B (+14% YoY, +16% sequentially) driven by record fleet utilization and growing power services demand, prompting management to raise the FY2026 revenue forecast to $4.31B [1]. The company's differentiated technology platform — digiFrac electric fleets, Cummins natural gas engine partnership, and distributed power generation — positions it at the intersection of energy services and AI infrastructure demand. As U.S. Secretary of Energy Chris Wright advocates for 'massively more energy' to power AI data centers, Liberty's expertise in natural gas-powered operations creates a tailored beneficiary of this secular trend [2]. The balance sheet is manageable (D/E 82%) and the dividend provides a 1.80% yield, while the stock trades near its 52-week low at $26.19, potentially offering contrarian value if drilling activity stabilizes.</w:t>
      </w:r>
    </w:p>
    <w:p>
      <w:pPr>
        <w:spacing w:after="120"/>
      </w:pPr>
      <w:r>
        <w:rPr>
          <w:rFonts w:ascii="Calibri" w:hAnsi="Calibri"/>
          <w:b w:val="0"/>
          <w:color w:val="3A4A28"/>
          <w:sz w:val="20"/>
        </w:rPr>
        <w:t>The bear case is rooted in cyclical earnings pressure and valuation uncertainty. Despite the revenue recovery, Q2 2026 net income fell 39% YoY to $43M and adjusted EBITDA declined 16% to $151M, indicating pricing compression even as utilization improves [1]. Profit margin has compressed from 5.3% to 2.92% over the past year, and ROE of 6.12% reflects weak capital efficiency in a capital-intensive business [4]. The dividend was cut from approximately $0.17/quarter to $0.09/quarter, undermining the income thesis and signaling management concern about near-term cash flows. Founder Chris Wright's departure to become Secretary of Energy removes the company's most distinctive strategic voice, leaving successor Ron Gusek untested through a commodity downturn [2]. The oilfield services industry faces structural headwinds from upstream capital discipline, potential shifts in U.S. energy policy, and long-term demand uncertainty as the energy transition progresses. The Inspire Impact Score of 17 (MIXED) provides a neutral faith-based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AI/data center power demand creating a secular tailwind for natural gas production and by extension hydraulic fracturing activity, with Liberty's distributed power services positioned as a direct beneficiary of this multi-year infrastructure buildout [1][2]</w:t>
      </w:r>
    </w:p>
    <w:p>
      <w:pPr>
        <w:spacing w:before="40" w:after="40"/>
        <w:ind w:left="283"/>
      </w:pPr>
      <w:r>
        <w:rPr>
          <w:rFonts w:ascii="Calibri" w:hAnsi="Calibri"/>
          <w:b/>
          <w:color w:val="4A6B25"/>
          <w:sz w:val="20"/>
        </w:rPr>
        <w:t xml:space="preserve">2. </w:t>
      </w:r>
      <w:r>
        <w:rPr>
          <w:rFonts w:ascii="Calibri" w:hAnsi="Calibri"/>
          <w:b w:val="0"/>
          <w:color w:val="3A4A28"/>
          <w:sz w:val="20"/>
        </w:rPr>
        <w:t>DigiFrac electric fleet deployment and Cummins natural gas engine partnership capturing market share from conventional fleets through lower emissions, reduced fuel costs, and alignment with tightening environmental regulations [2]</w:t>
      </w:r>
    </w:p>
    <w:p>
      <w:pPr>
        <w:spacing w:before="40" w:after="40"/>
        <w:ind w:left="283"/>
      </w:pPr>
      <w:r>
        <w:rPr>
          <w:rFonts w:ascii="Calibri" w:hAnsi="Calibri"/>
          <w:b/>
          <w:color w:val="4A6B25"/>
          <w:sz w:val="20"/>
        </w:rPr>
        <w:t xml:space="preserve">3. </w:t>
      </w:r>
      <w:r>
        <w:rPr>
          <w:rFonts w:ascii="Calibri" w:hAnsi="Calibri"/>
          <w:b w:val="0"/>
          <w:color w:val="3A4A28"/>
          <w:sz w:val="20"/>
        </w:rPr>
        <w:t>Revenue recovery momentum — Q2 2026 achieved record fleet utilization with FY2026 forecast raised to $4.31B, suggesting the cycle may be turning as E&amp;P capital spending stabilizes above $70/barrel oil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compression despite revenue recovery — Q2 net income fell 39% YoY to $43M on 14% higher revenue, with profit margin at 2.92% and adjusted EBITDA down 16%, indicating pricing pressure from excess frac fleet capacity in North America [1]</w:t>
      </w:r>
    </w:p>
    <w:p>
      <w:pPr>
        <w:spacing w:before="40" w:after="40"/>
        <w:ind w:left="283"/>
      </w:pPr>
      <w:r>
        <w:rPr>
          <w:rFonts w:ascii="Calibri" w:hAnsi="Calibri"/>
          <w:b/>
          <w:color w:val="4A6B25"/>
          <w:sz w:val="20"/>
        </w:rPr>
        <w:t xml:space="preserve">2. </w:t>
      </w:r>
      <w:r>
        <w:rPr>
          <w:rFonts w:ascii="Calibri" w:hAnsi="Calibri"/>
          <w:b w:val="0"/>
          <w:color w:val="3A4A28"/>
          <w:sz w:val="20"/>
        </w:rPr>
        <w:t>Dividend cut from ~$0.17/quarter to $0.09/quarter signals management concern about near-term cash generation, and founder/CEO Chris Wright's departure to become Secretary of Energy creates strategic leadership uncertainty under untested successor Ron Gusek [2]</w:t>
      </w:r>
    </w:p>
    <w:p>
      <w:pPr>
        <w:spacing w:before="40" w:after="40"/>
        <w:ind w:left="283"/>
      </w:pPr>
      <w:r>
        <w:rPr>
          <w:rFonts w:ascii="Calibri" w:hAnsi="Calibri"/>
          <w:b/>
          <w:color w:val="4A6B25"/>
          <w:sz w:val="20"/>
        </w:rPr>
        <w:t xml:space="preserve">3. </w:t>
      </w:r>
      <w:r>
        <w:rPr>
          <w:rFonts w:ascii="Calibri" w:hAnsi="Calibri"/>
          <w:b w:val="0"/>
          <w:color w:val="3A4A28"/>
          <w:sz w:val="20"/>
        </w:rPr>
        <w:t>Structural exposure to oil and gas drilling cycles — upstream capital discipline, potential commodity price declines below $60/barrel, and long-term energy transition headwinds could permanently impair the premium completions services business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Liberty Energy's core business — operating hydraulic fracturing equipment at well sites, managing complex physical logistics across North American oil and gas basins, and providing hands-on completions services — is structurally immune to AI displacement [1]. Fracturing operations require heavy physical equipment, skilled crews, real-time geological adaptation, and hazardous site management that AI cannot replicate. Furthermore, AI may increase demand for Liberty's services: the explosive growth of AI data centers is driving massive electricity demand, which increases natural gas consumption and by extension the need for hydraulic fracturing to produce that gas. Founder Chris Wright, now U.S. Secretary of Energy, has called AI 'the Manhattan Project of our time' requiring 'massively more energy' [2]. AI Opportunity (0/1): Liberty generates no direct revenue from AI-powered products or services. Technology investments focus on electric frac equipment (digiFrac), natural gas engines (Cummins partnership), and emissions reduction rather than AI-embedded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Energy Q2 FY2026 Earnings — Revenue $1.2B (+14% YoY), net income $43M, adjusted EBITDA $151M, record utilization, FY2026 forecast raised to $4.31B, power business growth — stocktitan.net, libertyenergy.com, August 2026</w:t>
      </w:r>
    </w:p>
    <w:p>
      <w:pPr>
        <w:spacing w:before="20" w:after="20"/>
        <w:ind w:left="170"/>
      </w:pPr>
      <w:r>
        <w:rPr>
          <w:rFonts w:ascii="Calibri" w:hAnsi="Calibri"/>
          <w:b/>
          <w:color w:val="4A6B25"/>
          <w:sz w:val="15"/>
        </w:rPr>
        <w:t xml:space="preserve">2. </w:t>
      </w:r>
      <w:r>
        <w:rPr>
          <w:rFonts w:ascii="Calibri" w:hAnsi="Calibri"/>
          <w:b w:val="0"/>
          <w:color w:val="3A4A28"/>
          <w:sz w:val="17"/>
        </w:rPr>
        <w:t>Chris Wright — U.S. Secretary of Energy (confirmed Feb 2025), Ron Gusek named CEO, 'Bettering Human Lives' mission, 'massively more energy' for AI, Cummins natural gas engine partnership — investors.libertyenergy.com, Washington Times, HPCwire, 2025-2026</w:t>
      </w:r>
    </w:p>
    <w:p>
      <w:pPr>
        <w:spacing w:before="20" w:after="20"/>
        <w:ind w:left="170"/>
      </w:pPr>
      <w:r>
        <w:rPr>
          <w:rFonts w:ascii="Calibri" w:hAnsi="Calibri"/>
          <w:b/>
          <w:color w:val="4A6B25"/>
          <w:sz w:val="15"/>
        </w:rPr>
        <w:t xml:space="preserve">3. </w:t>
      </w:r>
      <w:r>
        <w:rPr>
          <w:rFonts w:ascii="Calibri" w:hAnsi="Calibri"/>
          <w:b w:val="0"/>
          <w:color w:val="3A4A28"/>
          <w:sz w:val="17"/>
        </w:rPr>
        <w:t>Liberty Energy ESG Report and Environmental Innovation — 'Bettering Human Lives,' opposition to SEC climate rules, low-emission fleet since 2013, digiFrac technology — libertyenergy.com, Grist,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LBRT Key Statistics: D/E 82.14%, ROE 6.12%, Profit Margin 2.92%, Stock Price $26.19, Dividend Yield 1.80%, Avg Volume 3.76M,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