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LBTYA</w:t>
      </w:r>
      <w:r>
        <w:rPr>
          <w:rFonts w:ascii="Calibri" w:hAnsi="Calibri"/>
          <w:b/>
          <w:color w:val="1A2010"/>
          <w:sz w:val="40"/>
        </w:rPr>
        <w:t xml:space="preserve">  Liberty Global Ltd.</w:t>
      </w:r>
    </w:p>
    <w:p>
      <w:pPr>
        <w:spacing w:after="120"/>
      </w:pPr>
      <w:r>
        <w:rPr>
          <w:rFonts w:ascii="Calibri" w:hAnsi="Calibri"/>
          <w:b/>
          <w:color w:val="6E8450"/>
          <w:sz w:val="18"/>
        </w:rPr>
        <w:t>GROWTH SLEEVE · 2026-09-06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NasdaqGS · Bermuda</w:t>
      </w:r>
    </w:p>
    <w:p>
      <w:pPr>
        <w:spacing w:after="80"/>
      </w:pPr>
      <w:r>
        <w:rPr>
          <w:rFonts w:ascii="Calibri" w:hAnsi="Calibri"/>
          <w:b w:val="0"/>
          <w:color w:val="3A4A28"/>
          <w:sz w:val="20"/>
        </w:rPr>
        <w:t>Liberty Global Ltd. is a broadband communications company providing video, broadband internet, fixed-line telephony, and mobile services across Europe through consumer brands including Virgin Media O2 (UK), Telenet (Belgium), VodafoneZiggo (Netherlands), Sunrise (Switzerland), and Virgin Media (Ireland). Incorporated in Bermuda and headquartered in London, the company serves millions of subscribers through its fiber-to-the-home, HFC, and mobile networks.</w:t>
      </w:r>
    </w:p>
    <w:p>
      <w:r>
        <w:rPr>
          <w:rFonts w:ascii="Calibri" w:hAnsi="Calibri"/>
          <w:b/>
          <w:color w:val="6E8450"/>
          <w:sz w:val="18"/>
        </w:rPr>
        <w:t>6,636 Employees · https://www.libertyglobal.com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Liberty Global has invested in network upgrades across its European footprint, including DOCSIS 4 deployment and fiber-to-the-home expansion, and developed the ONE Connect cloud-based connectivity ecosystem with Connect Box for gigabit speeds and Intelligent WiFi [1][2]. However, these are incremental infrastructure improvements rather than disruptive innovations, and the company operates in a mature telecom market with limited differentiation. AI Deployment (1/2): Liberty Global signed a five-year strategic partnership with Google Cloud in February 2026 to embed AI at scale across European operations, integrating Gemini models into its Horizon TV platform for conversational content discovery and deploying AI in care channels for improved first-contact resolution [2]. Deployment is still early-stage with limited quantified impact. Market Share (1/2): Maintains strong broadband positions across five European markets with well-known consumer brands, but faces intense competition from incumbent telcos and fiber-only challengers in each geography [1]. Product Pipeline (1/2): VodafoneZiggo full acquisition closing July 2026 with planned spin-off in H2 2027 represents a significant strategic move, and DOCSIS 4 rollouts planned for 2026 will enhance speeds [1][3]. R&amp;D Intensity (1/1): Significant network investment with adj. FCF of -$319M in Q1 2026, reflecting heavy capital expenditure on next-generation infrastructure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Liberty Global's purpose centers on connecting people through broadband and communications services — a socially useful function but not a distinctive or aspirational Just Cause. The company's messaging emphasizes shareholder value creation and operational efficiency rather than a higher purpose [3]. Community Impact (0/2): The company published a sustainability report with EY on AI-driven sustainability gains for the telco sector, but concrete community investment programs and measurable social impact are limited in public disclosures [2]. Employee Retention (1/2): Mike Fries has led the company for over 20 years, transitioning to Chairman in January 2026 from the CEO role, demonstrating exceptional leadership continuity. The broader leadership team shows stability, though the company has 6,636 employees and limited public data on retention or culture metrics [3]. Insider Buying (0/2): No notable insider buying activity identified. Fries' leadership transition and ongoing involvement signal confidence, but this is a governance change rather than an equity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Q1 2026 revenue of $1.27B was up 8.8% YoY with adjusted EBITDA growth of 12.9%, and the company returned to profitability with net income of $358.2M [1]. ROE has improved to -20.2% from -48% at last screen but remains deeply negative, while profit margin of -62% continues to reflect GAAP losses from depreciation and restructuring charges [4]. D/E of 98% is manageable for a capital-intensive telecom. Forward P/E and PEG are unreliable given the earnings volatility, so excluded from mechanical scoring. The 8.8% revenue growth, driven by consolidation of acquired operations and 2.9% organic growth, is the strongest metric. Stock has risen ~15% since last screen to $12.14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Liberty Global operates with mixed infinite-game characteristics. Mike Fries' 20+ year tenure as CEO demonstrates personal commitment to the long game, and the company's willingness to restructure through M&amp;A (VodafoneZiggo acquisition, planned spin-off) shows strategic flexibility. However, the company's primary messaging centers on shareholder value creation, capital allocation optimization, and operational efficiency rather than a higher purpose, suggesting a fundamentally finite orientation beneath the strategic patience.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Liberty Global connects millions of Europeans to broadband, mobile, and entertainment services — a socially important function. However, the company's public communications emphasize shareholder value, capital allocation, and financial engineering (acquisitions, spin-offs, share repurchases) rather than a distinctive purpose that transcends profitability [3]. Fries is described as focused on 'capital allocation and shareholder value' rather than a mission-driven vision. The company lacks a clear Just Cause that would pass Sinek's test of being bigger than any one person or any financial goal.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transition from John Malone as Chairman to Mike Fries demonstrates institutional trust, and Fries' collaborative leadership style — described as a 'quiet, steady hand' who builds strong teams and maintains close relationships across stakeholders — suggests a culture of trust at the senior level [3]. However, with operations across five European countries and 6,636 employees, the company faces inherent challenges in maintaining trust across diverse cultural contexts and organizational layers. Limited public data on employee satisfaction, retention, or cultural health metrics.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Liberty Global competes against major European incumbents (BT, Deutsche Telekom, Swisscom, Proximus) and uses competitive pressure constructively — the Google Cloud AI partnership was partly motivated by the need to match or exceed competitors' digital capabilities [2]. The VodafoneZiggo acquisition demonstrates a willingness to partner with and then absorb worthy rivals rather than simply opposing them. Fries' strategy of maintaining 'close relationships with regulators, partners, and investors' suggests a cooperative competitive approach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Liberty Global has demonstrated meaningful strategic flexibility — transforming from a cable TV company to a converged broadband/mobile operator, partnering with Google Cloud for AI-driven transformation, and structuring the VodafoneZiggo acquisition with a planned spin-off in H2 2027 [1][3]. The willingness to restructure operations and pursue complex M&amp;A shows organizational adaptability. However, these moves are incremental evolutions within the telecom sector rather than the kind of existential pivots that define truly infinite-game flexibility — the company has not fundamentally redefined what it is or could be.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VodafoneZiggo full acquisition closing July 2026, funded amid negative adjusted FCF and high leverage, represents a significant strategic bet on Dutch broadband consolidation [1][3]. Mike Fries' transition to Chairman while maintaining strategic oversight shows willingness to evolve governance. However, the company's heavy reliance on financial engineering — M&amp;A, spin-offs, share repurchases — over organic innovation suggests operational courage more than visionary courage. The -$319M adjusted FCF while pursuing major acquisitions raises questions about financial prudence versus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Global delivered Q1 2026 revenue of $1.27B, up 8.8% YoY, and reiterated full-year 2026 guidance while advancing key strategic initiatives [1]. The company is positioned for a transformative period: the VodafoneZiggo full acquisition is closing in July 2026, a five-year Google Cloud AI partnership was launched in February 2026, and DOCSIS 4 network upgrades are underway across the footprint [1][2]. Mike Fries' transition to Chairman brings governance stability while the company navigates these structural changes. The stock trades at a PEG of 0.34 with a GF Score of 72/100, suggesting potential undervaluation of approximately 15.9% according to some valuation models [4]. Liberty Global's $1.9B cash balance provides liquidity to fund strategic moves, and the planned VodafoneZiggo spin-off in H2 2027 could unlock significant embedded value.</w:t>
      </w:r>
    </w:p>
    <w:p>
      <w:pPr>
        <w:spacing w:after="120"/>
      </w:pPr>
      <w:r>
        <w:rPr>
          <w:rFonts w:ascii="Calibri" w:hAnsi="Calibri"/>
          <w:b w:val="0"/>
          <w:color w:val="3A4A28"/>
          <w:sz w:val="20"/>
        </w:rPr>
        <w:t>However, Liberty Global's fundamental financial profile presents serious concerns. Profit margin of -109.66% and ROE of -47.97% indicate the business is destroying value on a GAAP basis, with the Q1 2026 net profit of $358.2M driven by FX and derivative gains rather than operational improvement [1]. Adjusted FCF of -$319M reflects the heavy capital intensity of network investment but raises sustainability questions. The negative Forward P/E of -8.56 confirms the market expects continued losses in the near term. European telecom markets face structural challenges including intense competition, regulatory pressure (net neutrality, spectrum allocation), and customer ARPU headwinds from cord-cutting. The VodafoneZiggo acquisition adds execution risk and integration complexity at a time when the company's balance sheet is already stressed. Content exposed to 'Sexually Explicit' designation from Inspire Insight creates a faith alignment concern that limits the addressable investor base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VodafoneZiggo full acquisition closing July 2026 and planned spin-off in H2 2027 could unlock significant embedded value and simplify the corporate structure</w:t>
      </w:r>
    </w:p>
    <w:p>
      <w:pPr>
        <w:spacing w:before="40" w:after="40"/>
        <w:ind w:left="283"/>
      </w:pPr>
      <w:r>
        <w:rPr>
          <w:rFonts w:ascii="Calibri" w:hAnsi="Calibri"/>
          <w:b/>
          <w:color w:val="4A6B25"/>
          <w:sz w:val="20"/>
        </w:rPr>
        <w:t xml:space="preserve">2. </w:t>
      </w:r>
      <w:r>
        <w:rPr>
          <w:rFonts w:ascii="Calibri" w:hAnsi="Calibri"/>
          <w:b w:val="0"/>
          <w:color w:val="3A4A28"/>
          <w:sz w:val="20"/>
        </w:rPr>
        <w:t>Five-year Google Cloud AI partnership driving operational efficiencies through Gemini integration in Horizon TV, AI-powered customer care, and network optimization across all European operations</w:t>
      </w:r>
    </w:p>
    <w:p>
      <w:pPr>
        <w:spacing w:before="40" w:after="40"/>
        <w:ind w:left="283"/>
      </w:pPr>
      <w:r>
        <w:rPr>
          <w:rFonts w:ascii="Calibri" w:hAnsi="Calibri"/>
          <w:b/>
          <w:color w:val="4A6B25"/>
          <w:sz w:val="20"/>
        </w:rPr>
        <w:t xml:space="preserve">3. </w:t>
      </w:r>
      <w:r>
        <w:rPr>
          <w:rFonts w:ascii="Calibri" w:hAnsi="Calibri"/>
          <w:b w:val="0"/>
          <w:color w:val="3A4A28"/>
          <w:sz w:val="20"/>
        </w:rPr>
        <w:t>DOCSIS 4 network upgrades across the footprint enabling multi-gigabit speeds and competitive differentiation against fiber-only challengers in UK, Belgium, Netherlands, Switzerland, and Ireland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negative profit margin (-109.66%) and ROE (-47.97%) with adjusted FCF of -$319M in Q1 2026 raise questions about the sustainability of the capital-intensive transformation strategy</w:t>
      </w:r>
    </w:p>
    <w:p>
      <w:pPr>
        <w:spacing w:before="40" w:after="40"/>
        <w:ind w:left="283"/>
      </w:pPr>
      <w:r>
        <w:rPr>
          <w:rFonts w:ascii="Calibri" w:hAnsi="Calibri"/>
          <w:b/>
          <w:color w:val="4A6B25"/>
          <w:sz w:val="20"/>
        </w:rPr>
        <w:t xml:space="preserve">2. </w:t>
      </w:r>
      <w:r>
        <w:rPr>
          <w:rFonts w:ascii="Calibri" w:hAnsi="Calibri"/>
          <w:b w:val="0"/>
          <w:color w:val="3A4A28"/>
          <w:sz w:val="20"/>
        </w:rPr>
        <w:t>VodafoneZiggo acquisition and integration execution risk at a time of already-stressed balance sheet, with the planned H2 2027 spin-off adding complexity and timeline uncertainty</w:t>
      </w:r>
    </w:p>
    <w:p>
      <w:pPr>
        <w:spacing w:before="40" w:after="40"/>
        <w:ind w:left="283"/>
      </w:pPr>
      <w:r>
        <w:rPr>
          <w:rFonts w:ascii="Calibri" w:hAnsi="Calibri"/>
          <w:b/>
          <w:color w:val="4A6B25"/>
          <w:sz w:val="20"/>
        </w:rPr>
        <w:t xml:space="preserve">3. </w:t>
      </w:r>
      <w:r>
        <w:rPr>
          <w:rFonts w:ascii="Calibri" w:hAnsi="Calibri"/>
          <w:b w:val="0"/>
          <w:color w:val="3A4A28"/>
          <w:sz w:val="20"/>
        </w:rPr>
        <w:t>European telecom market faces structural headwinds from intense competition, regulatory pressure, and ARPU erosion that may limit revenue growth despite network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Liberty Global's core business of operating physical broadband networks — fiber-to-the-home, HFC, and mobile infrastructure — is fundamentally protected from AI disruption. Last-mile connectivity requires massive physical infrastructure investment (trenching, towers, nodes) that AI cannot replicate or substitute [1]. The regulatory environment across five European markets (spectrum licenses, franchise agreements) creates additional moats. However, AI-powered over-the-top services could reduce the value proposition of bundled content and erode ARPU, and AI chatbots could eventually displace some customer service operations — though Liberty Global is proactively deploying these itself [2]. Content aggregation and discovery, where Liberty Global operates through Horizon TV, faces disruption as AI enables more personalized, platform-independent content recommendations. AI Opportunity (1/1): The five-year Google Cloud partnership announced in February 2026 demonstrates genuine commitment to AI-driven operational improvement, with Gemini integration in Horizon TV for conversational content discovery, AI deployment in care channels, and AI-driven network optimization [2]. The joint EY report on AI-driven sustainability gains positions Liberty Global as a thought leader in telco AI adoption. Proactive AI deployment should drive measurable cost efficiencies across customer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Global Q1 2026 Earnings Release and 10-Q Filing — stocktitan.net, tradingview.com, May 2026</w:t>
      </w:r>
    </w:p>
    <w:p>
      <w:pPr>
        <w:spacing w:before="20" w:after="20"/>
        <w:ind w:left="170"/>
      </w:pPr>
      <w:r>
        <w:rPr>
          <w:rFonts w:ascii="Calibri" w:hAnsi="Calibri"/>
          <w:b/>
          <w:color w:val="4A6B25"/>
          <w:sz w:val="15"/>
        </w:rPr>
        <w:t xml:space="preserve">2. </w:t>
      </w:r>
      <w:r>
        <w:rPr>
          <w:rFonts w:ascii="Calibri" w:hAnsi="Calibri"/>
          <w:b w:val="0"/>
          <w:color w:val="3A4A28"/>
          <w:sz w:val="17"/>
        </w:rPr>
        <w:t>Liberty Global and Google Cloud Five-Year AI Partnership Announcement — SEC 8-K Filing, February 2026</w:t>
      </w:r>
    </w:p>
    <w:p>
      <w:pPr>
        <w:spacing w:before="20" w:after="20"/>
        <w:ind w:left="170"/>
      </w:pPr>
      <w:r>
        <w:rPr>
          <w:rFonts w:ascii="Calibri" w:hAnsi="Calibri"/>
          <w:b/>
          <w:color w:val="4A6B25"/>
          <w:sz w:val="15"/>
        </w:rPr>
        <w:t xml:space="preserve">3. </w:t>
      </w:r>
      <w:r>
        <w:rPr>
          <w:rFonts w:ascii="Calibri" w:hAnsi="Calibri"/>
          <w:b w:val="0"/>
          <w:color w:val="3A4A28"/>
          <w:sz w:val="17"/>
        </w:rPr>
        <w:t>Mike Fries Leadership Profile and Liberty Global Leadership Transition — bbntimes.com, theglobeandmail.com, 2025-2026</w:t>
      </w:r>
    </w:p>
    <w:p>
      <w:pPr>
        <w:spacing w:before="20" w:after="20"/>
        <w:ind w:left="170"/>
      </w:pPr>
      <w:r>
        <w:rPr>
          <w:rFonts w:ascii="Calibri" w:hAnsi="Calibri"/>
          <w:b/>
          <w:color w:val="4A6B25"/>
          <w:sz w:val="15"/>
        </w:rPr>
        <w:t xml:space="preserve">4. </w:t>
      </w:r>
      <w:r>
        <w:rPr>
          <w:rFonts w:ascii="Calibri" w:hAnsi="Calibri"/>
          <w:b w:val="0"/>
          <w:color w:val="3A4A28"/>
          <w:sz w:val="17"/>
        </w:rPr>
        <w:t>Liberty Global LBTYA Valuation and Financial Analysis — gurufocus.com, Yahoo Finance,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Inspire Insight — LBTYA Faith Alignment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