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LBTYK</w:t>
      </w:r>
      <w:r>
        <w:rPr>
          <w:rFonts w:ascii="Calibri" w:hAnsi="Calibri"/>
          <w:b/>
          <w:color w:val="1A2010"/>
          <w:sz w:val="40"/>
        </w:rPr>
        <w:t xml:space="preserve">  Liberty Global Ltd.</w:t>
      </w:r>
    </w:p>
    <w:p>
      <w:pPr>
        <w:spacing w:after="120"/>
      </w:pPr>
      <w:r>
        <w:rPr>
          <w:rFonts w:ascii="Calibri" w:hAnsi="Calibri"/>
          <w:b/>
          <w:color w:val="6E8450"/>
          <w:sz w:val="18"/>
        </w:rPr>
        <w:t>GROWTH SLEEVE · 2026-09-27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 · Bermuda</w:t>
      </w:r>
    </w:p>
    <w:p>
      <w:pPr>
        <w:spacing w:after="80"/>
      </w:pPr>
      <w:r>
        <w:rPr>
          <w:rFonts w:ascii="Calibri" w:hAnsi="Calibri"/>
          <w:b w:val="0"/>
          <w:color w:val="3A4A28"/>
          <w:sz w:val="20"/>
        </w:rPr>
        <w:t>Liberty Global is an international telecommunications and technology company providing broadband internet, video, fixed-line telephony, and mobile services primarily in Europe, operating in Belgium (Telenet), Ireland, Slovakia, and internationally, with a JV interest in VodafoneZiggo (Netherlands) and VMO2 (UK). The company is executing a multi-year transformation including corporate restructuring and portfolio simplification while pursuing aggressive share buybacks. CEO Michael Fries has led the company since 2005. Q1 2026 revenue was $1.27B (+8.8% YoY) but Q2 declined with a new wholesale pricing model.</w:t>
      </w:r>
    </w:p>
    <w:p>
      <w:r>
        <w:rPr>
          <w:rFonts w:ascii="Calibri" w:hAnsi="Calibri"/>
          <w:b/>
          <w:color w:val="6E8450"/>
          <w:sz w:val="18"/>
        </w:rPr>
        <w:t>6,636 Employees · https://www.libertyglobal.com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Liberty Global's past five years feature significant corporate restructuring — the VMO2 joint venture with Telefonica (UK), Telenet integration (Belgium), planned Ziggo spin-off, and Sunrise spin-off — rather than product or service innovation [1]. Q1 2026 showed revenue growth of 8.8% with broadband subscriber improvement, but the core service offering (broadband, TV, phone) remains unchanged from five years ago. AI Deployment (1/2): CEO Fries stated 'every company is implementing AI solutions making them more efficient, faster, better, and more profitable,' and the company has published thought leadership on AI for telecoms including investing in AI breakthroughs and leading at the intersection of human talent and AI innovation [2]. However, no specific quantified AI savings or AI-powered products generating revenue have been cited. Market Share (1/2): Liberty Global holds meaningful broadband positions across Belgium (Telenet), Netherlands (VodafoneZiggo JV), and UK (VMO2 JV), serving millions of subscribers [1]. These are established competitive positions but not category-leading or gaining share against fiber overbuilders like KPN and BT. Product Pipeline (0/2): The Ziggo spin-off and VMO2 restructuring are corporate actions, not next-gen products. No specific new services with launch timelines and revenue visibility announced. R&amp;D Intensity (0/1): European cable operators invest in network upgrades (DOCSIS 4.0, fiber) but this is capex, not R&amp;D at differentiated levels.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Liberty Global's mission — 'Building Tomorrow's Connections Today, investing in infrastructure and platforms that empower customers' — is generic telecom boilerplate, interchangeable with any broadband provider globally [3]. It does not articulate a distinctive vision beyond the obvious function of a telecommunications company. Community Impact (1/2): Liberty Global is a founding member of the European Green Digital Coalition, committed to Net Zero across Scopes 1 and 2 by 2030, and was recognized on the Financial Times list of Europe's Climate Leaders [3]. The 'People Planet Progress' strategy addresses ESG systematically. However, no specific charitable giving amounts or distinctive community investment programs were identified. Employee Retention (0/2): No specific employee retention, tenure, or turnover data identified for the 6,636-person workforce. Continuous restructuring (spin-offs, mergers, workforce reductions from 19,000 to 6,636) likely creates organizational uncertainty. Insider Buying (0/2): No evidence of insider buying was identified. The company's insider activity has historically shown net selling by directors and officers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with significant data limitations (Forward P/E and PEG excluded due to negative forward earnings, 5-year revenue CAGR unavailable due to corporate restructurings). D/E of 98.6% is above the 70% target but below the 300% floor, providing the only positive metric contribution [4]. Revenue growth YoY of -7.7% is well below the 10% target. ROE of -26.5% and profit margin of -62.1% both score 0 — the GAAP losses include impairments, restructuring costs, and JV accounting complexities. Free cash flow is deeply negative at -$510M, compared to $170M positive in the prior period. The stock trades at $9.26 against book value likely well above that, but negative forward EPS of -$3.34 means the company is expected to continue losing money. The liquidity floor is easily cleared at ~$13.6M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Liberty Global under CEO Michael Fries operates as a financial engineering vehicle rather than a purpose-driven telecom operator. The strategy centers on M&amp;A restructuring (spin-offs, mergers, joint ventures), aggressive leveraged share buybacks, and portfolio optimization — all classic finite-game tactics focused on maximizing shareholder returns in each period. The constant corporate restructuring — Sunrise spin-off, VMO2 JV, Telenet integration, Ziggo spin-off — signals a company managed as a collection of financial assets rather than an enduring organization with a cause beyond returns. The workforce reduction from ~19,000 to 6,636 employees underscores the extractive approach.</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Liberty Global's stated mission to 'build tomorrow's connections today' is marketing boilerplate — it does not shape strategic decisions, which are driven by financial engineering: M&amp;A arbitrage, leveraged buybacks, and corporate restructuring [3]. CEO Fries' 21-year tenure has been characterized by deal-making rather than purpose-driven leadership. The company's strategy emphasizes 'superior organic growth, opportunistic M&amp;A activity, and equity returns through appropriate leverage and share buybacks.' This is a financial holding company articulating a financial holding company's purpose — there is no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Liberty Global's continuous restructuring — spinning off operating companies, integrating acquisitions, forming joint ventures — creates structural organizational instability [1]. The workforce declined from approximately 19,000 to 6,636, reflecting massive headcount reductions through divestitures and restructuring. Employees face pending spin-offs, uncertain JV governance, and continuous organizational change. No employee satisfaction, retention, or cultural data was identified. This level of organizational instability is the antithesis of the psychological safety Sinek describes.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Liberty Global's competitive communication focuses on subscriber metrics, EBITDA margins, and corporate restructuring milestones rather than learning from competitors' strengths. No evidence of management acknowledging European broadband peers (Deutsche Telekom, KPN, Proximus) as worthy rivals whose strengths inspire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Liberty Global has repeatedly reshaped its corporate portfolio — VMO2 JV combined Virgin Media with O2 in the UK, the Sunrise spin-off exited Switzerland, the Telenet take-private consolidated Belgium, and the planned Ziggo spin-off will separate the Netherlands [1]. These demonstrate willingness to dramatically reshape the company. However, the pivots are financially motivated (arbitrage, leverage optimization, portfolio simplification) rather than driven by a Just Cause. The business model — providing broadband/TV/phone over cable infrastructure — has not fundamentally changed.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Liberty Global's capital allocation is dominated by financial engineering — aggressive buybacks while the stock trades at a deep discount to book value, combined with continuous corporate restructuring [4]. While buybacks at deep discounts can create value, they represent financial optimization, not courageous long-term capability investment. No evidence of management sacrificing near-term financial results to invest in long-term infrastructure, content, or service innovation. The negative free cash flow of -$510M raises questions about sustainability of the current approach.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Liberty Global at $9.26 trades at what appears to be a substantial discount to the replacement value of its European broadband infrastructure assets — fiber networks, cable plants, and spectrum licenses across Belgium, Netherlands, UK, Ireland, and Slovakia [1]. Q1 2026 revenue grew 8.8% YoY to $1.27B with broadband subscriber improvement, and the Liberty Growth segment surged 39.5% to $177.6M, suggesting some operational momentum. CEO Fries' 21-year tenure provides strategic continuity, and the company's aggressive AI deployment across portfolio companies could drive operational efficiency improvements. Share buybacks at deep discounts to asset value mathematically create per-share value for remaining shareholders.</w:t>
      </w:r>
    </w:p>
    <w:p>
      <w:pPr>
        <w:spacing w:after="120"/>
      </w:pPr>
      <w:r>
        <w:rPr>
          <w:rFonts w:ascii="Calibri" w:hAnsi="Calibri"/>
          <w:b w:val="0"/>
          <w:color w:val="3A4A28"/>
          <w:sz w:val="20"/>
        </w:rPr>
        <w:t>The bear case is overwhelming and structural. GAAP net losses continue with profit margin at -62.1%, ROE at -26.5%, and free cash flow now deeply negative at -$510M (compared to +$170M in the prior period) [4]. Forward EPS of -$3.34 means the company is expected to continue losing money. D/E of 98.6% reflects significant leverage against declining operating performance. The workforce collapsed from ~19,000 to 6,636 employees through continuous restructuring that has destroyed organizational stability without creating shareholder value — the stock has declined from $10.29 to $9.26 since August. Revenue growth of -7.7% in the most recent quarter reverses Q1's positive momentum. The Inspire Impact Score of 0 (MIXED) with zero positive and zero negative attributions reflects no meaningful ESG differentiation. The constant corporate reshuffling (Ziggo spin-off, VMO2 governance, Telenet integration) creates complexity that makes the equity story nearly impossible for investors to underwrite. European telecom faces structural headwinds from regulatory price caps, fiber overbuilding, and cord-cutting that limit organic growth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Ziggo spin-off completion could unlock NAV by creating a pure-play Dutch broadband operator with clearer valuation metrics, narrowing the discount to asset value [1]</w:t>
      </w:r>
    </w:p>
    <w:p>
      <w:pPr>
        <w:spacing w:before="40" w:after="40"/>
        <w:ind w:left="283"/>
      </w:pPr>
      <w:r>
        <w:rPr>
          <w:rFonts w:ascii="Calibri" w:hAnsi="Calibri"/>
          <w:b/>
          <w:color w:val="4A6B25"/>
          <w:sz w:val="20"/>
        </w:rPr>
        <w:t xml:space="preserve">2. </w:t>
      </w:r>
      <w:r>
        <w:rPr>
          <w:rFonts w:ascii="Calibri" w:hAnsi="Calibri"/>
          <w:b w:val="0"/>
          <w:color w:val="3A4A28"/>
          <w:sz w:val="20"/>
        </w:rPr>
        <w:t>Liberty Growth segment growing 39.5% YoY to $177.6M in Q1 could become a meaningful growth driver if the company successfully scales its digital infrastructure and technology investments [1]</w:t>
      </w:r>
    </w:p>
    <w:p>
      <w:pPr>
        <w:spacing w:before="40" w:after="40"/>
        <w:ind w:left="283"/>
      </w:pPr>
      <w:r>
        <w:rPr>
          <w:rFonts w:ascii="Calibri" w:hAnsi="Calibri"/>
          <w:b/>
          <w:color w:val="4A6B25"/>
          <w:sz w:val="20"/>
        </w:rPr>
        <w:t xml:space="preserve">3. </w:t>
      </w:r>
      <w:r>
        <w:rPr>
          <w:rFonts w:ascii="Calibri" w:hAnsi="Calibri"/>
          <w:b w:val="0"/>
          <w:color w:val="3A4A28"/>
          <w:sz w:val="20"/>
        </w:rPr>
        <w:t>AI-driven cost efficiencies across all portfolio companies — CEO Fries views AI as 'turbo-charging productivity' in network operations, customer service, and energy management, which could help close the gap between negative GAAP results and underlying cash generation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losses with -62.1% profit margin and negative free cash flow of -$510M suggest the company is destroying value on a reported basis despite continuous cost restructuring [4]</w:t>
      </w:r>
    </w:p>
    <w:p>
      <w:pPr>
        <w:spacing w:before="40" w:after="40"/>
        <w:ind w:left="283"/>
      </w:pPr>
      <w:r>
        <w:rPr>
          <w:rFonts w:ascii="Calibri" w:hAnsi="Calibri"/>
          <w:b/>
          <w:color w:val="4A6B25"/>
          <w:sz w:val="20"/>
        </w:rPr>
        <w:t xml:space="preserve">2. </w:t>
      </w:r>
      <w:r>
        <w:rPr>
          <w:rFonts w:ascii="Calibri" w:hAnsi="Calibri"/>
          <w:b w:val="0"/>
          <w:color w:val="3A4A28"/>
          <w:sz w:val="20"/>
        </w:rPr>
        <w:t>European telecom regulatory environment including price caps, infrastructure sharing mandates, and aggressive fiber overbuilding by competitors (KPN, Proximus, BT) compresses margins and limits organic growth potential</w:t>
      </w:r>
    </w:p>
    <w:p>
      <w:pPr>
        <w:spacing w:before="40" w:after="40"/>
        <w:ind w:left="283"/>
      </w:pPr>
      <w:r>
        <w:rPr>
          <w:rFonts w:ascii="Calibri" w:hAnsi="Calibri"/>
          <w:b/>
          <w:color w:val="4A6B25"/>
          <w:sz w:val="20"/>
        </w:rPr>
        <w:t xml:space="preserve">3. </w:t>
      </w:r>
      <w:r>
        <w:rPr>
          <w:rFonts w:ascii="Calibri" w:hAnsi="Calibri"/>
          <w:b w:val="0"/>
          <w:color w:val="3A4A28"/>
          <w:sz w:val="20"/>
        </w:rPr>
        <w:t>Corporate complexity from managing Ziggo spin-off, VMO2 JV governance with Telefonica, and Telenet integration simultaneously creates execution risk and organizational instability evident in the 65% workforce reduction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Liberty Global's core asset is physical telecommunications infrastructure — fiber networks, cable plants, spectrum licenses, and data centers — that AI structurally cannot displace [2]. Consumers and businesses require physical broadband connectivity regardless of AI advances, and AI workloads may increase demand for bandwidth. However, the service layer faces AI-driven efficiency pressure: AI chatbots reduce call center staffing, AI-powered network optimization reduces engineering headcount, and AI-enabled content recommendation could reshape the video/entertainment value chain. CEO Fries views AI as a net benefit, stating it is 'downright irresponsible not to harbor big AI ambitions' for telcos, but exposure to cord-cutting and digital disruption in video services provides moderate risk. AI Opportunity (0/1): Liberty Global deploys AI internally for network optimization, energy management, and customer experience but generates no quantifiable revenue from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Liberty Global Q1 and Q2 2026 Earnings — Q1 Revenue $1.27B (+8.8%), Liberty Growth +39.5%, Q2 Revenue $197.8M (+1.4%), Broadband Subscriber Improvement — SEC Form 8-K, GlobeNewswire, Nasdaq, 2026</w:t>
      </w:r>
    </w:p>
    <w:p>
      <w:pPr>
        <w:spacing w:before="20" w:after="20"/>
        <w:ind w:left="170"/>
      </w:pPr>
      <w:r>
        <w:rPr>
          <w:rFonts w:ascii="Calibri" w:hAnsi="Calibri"/>
          <w:b/>
          <w:color w:val="4A6B25"/>
          <w:sz w:val="15"/>
        </w:rPr>
        <w:t xml:space="preserve">2. </w:t>
      </w:r>
      <w:r>
        <w:rPr>
          <w:rFonts w:ascii="Calibri" w:hAnsi="Calibri"/>
          <w:b w:val="0"/>
          <w:color w:val="3A4A28"/>
          <w:sz w:val="17"/>
        </w:rPr>
        <w:t>Liberty Global AI Strategy and Innovation — CEO Fries on AI Deployment, 'Investing in the Next Wave of AI Breakthroughs,' Leading at the Intersection of AI and Human Talent — libertyglobal.com, Investing.com, 2025-2026</w:t>
      </w:r>
    </w:p>
    <w:p>
      <w:pPr>
        <w:spacing w:before="20" w:after="20"/>
        <w:ind w:left="170"/>
      </w:pPr>
      <w:r>
        <w:rPr>
          <w:rFonts w:ascii="Calibri" w:hAnsi="Calibri"/>
          <w:b/>
          <w:color w:val="4A6B25"/>
          <w:sz w:val="15"/>
        </w:rPr>
        <w:t xml:space="preserve">3. </w:t>
      </w:r>
      <w:r>
        <w:rPr>
          <w:rFonts w:ascii="Calibri" w:hAnsi="Calibri"/>
          <w:b w:val="0"/>
          <w:color w:val="3A4A28"/>
          <w:sz w:val="17"/>
        </w:rPr>
        <w:t>Liberty Global Mission, ESG, and Corporate Responsibility — 'Building Tomorrow's Connections Today,' Net Zero by 2030, European Green Digital Coalition, FT Climate Leaders — libertyglobal.com, CSRHub, 2020-2026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LBTYK Key Statistics: D/E 98.6%, ROE -26.5%, Profit Margin -62.1%, Forward EPS -$3.34, Stock Price $9.26, Market Cap $3.16B,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