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LEG</w:t>
      </w:r>
      <w:r>
        <w:rPr>
          <w:rFonts w:ascii="Calibri" w:hAnsi="Calibri"/>
          <w:b/>
          <w:color w:val="1A2010"/>
          <w:sz w:val="40"/>
        </w:rPr>
        <w:t xml:space="preserve">  Leggett &amp; Platt, Incorporated</w:t>
      </w:r>
    </w:p>
    <w:p>
      <w:pPr>
        <w:spacing w:after="120"/>
      </w:pPr>
      <w:r>
        <w:rPr>
          <w:rFonts w:ascii="Calibri" w:hAnsi="Calibri"/>
          <w:b/>
          <w:color w:val="6E8450"/>
          <w:sz w:val="18"/>
        </w:rPr>
        <w:t>DIVIDEND SLEEVE · 2026-09-19 · Inspire: 45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Furnishings, Fixtures &amp; Appliances · NYSE · United States</w:t>
      </w:r>
    </w:p>
    <w:p>
      <w:pPr>
        <w:spacing w:after="80"/>
      </w:pPr>
      <w:r>
        <w:rPr>
          <w:rFonts w:ascii="Calibri" w:hAnsi="Calibri"/>
          <w:b w:val="0"/>
          <w:color w:val="3A4A28"/>
          <w:sz w:val="20"/>
        </w:rPr>
        <w:t>Leggett &amp; Platt designs and manufactures engineered components for bedding (innersprings, specialty foam, adjustable bases), furniture (mechanisms, seat suspensions), flooring (carpet cushion, underlayment), and specialty wire products. Founded in 1883 in Carthage, Missouri. The company divested its Aerospace Products Group in 2025 and is subject to a pending all-stock merger with Somnigroup valued at approximately $2.5B (0.1455 exchange ratio), with shareholder vote held August 20, 2026. Q2 2026 revenue of $999.7M beat estimates, with EPS of $0.39 beating consensus of $0.27. Market cap ~$1.3B.</w:t>
      </w:r>
    </w:p>
    <w:p>
      <w:r>
        <w:rPr>
          <w:rFonts w:ascii="Calibri" w:hAnsi="Calibri"/>
          <w:b/>
          <w:color w:val="6E8450"/>
          <w:sz w:val="18"/>
        </w:rPr>
        <w:t>15,000 Employees · https://leggett.com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new product launches or business model transformations in the past 5 years. Revenue has declined from $5.15B in 2022 to a projected $3.8-4.0B for FY2026, reflecting a structurally shrinking business [1]. The divestiture of the Aerospace Products Group in 2025 removed the most technologically differentiated segment. Q2 2026 revenue of $999.7M showed sequential improvement from Q1's $918.2M but remains in secular decline. AI Deployment (0/2): No AI products shipping to customers and no quantified AI-driven efficiencies. The company's 10-K identifies AI primarily as a risk factor (data exposure, IP infringement, privacy violation) rather than an opportunity [2]. Market Share (1/2): Leggett remains the dominant U.S. supplier of bedding innerspring components and a meaningful player in specialty wire products, but market position is eroding amid persistent soft demand in residential bedding and furniture markets [1]. Revenue declined 5.5% YoY, continuing a multi-year contraction trend. Product Pipeline (0/2): No next-generation products announced with specific timelines. The pending Somnigroup acquisition effectively freezes independent product development and strategic planning [3]. R&amp;D Intensity (1/1): The company's WIN 70/30 innovation program (70% internal, 30% external idea generation) suggests at-or-near industry average R&amp;D investment for diversified industrials, though the declining revenue base limits absolute R&amp;D spending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Leggett &amp; Platt's purpose centers on 'We Pioneer' and creating 'innovative products that people need' — a generic mission interchangeable with virtually any manufacturer. The 143-year heritage provides credibility but the company lacks a distinctive purpose beyond commercial success [4]. Community Impact (1/2): The company publishes annual Sustainability Reports covering GHG emissions reduction, waste management, ethical supply chain practices, and completed a formal materiality assessment. Ten positive ESG attributions from Inspire Insight reflect broad sustainability efforts [5]. However, no standout charitable dollar amounts or distinctive community programs beyond standard corporate sustainability. Employee Retention (1/2): Leggett's ~15,000-employee workforce operates from the stable Carthage, Missouri headquarters with eight stated 'Leggett DNA' cultural qualities, suggesting organizational continuity over 143 years [4]. However, Glassdoor reviews cite low compensation, poor management, and culture rated D+ by Comparably. CEO Karl Glassman rated 63/100 by employees [6]. No specific turnover or tenure data available. Insider Buying (1/2): CEO Karl Glassman purchased $273K worth of shares at $11.48 per share — an open-market buy into the stock's multi-year decline. Five board members acquired shares in April 2026. Net insider buying with no selling over the past year signals some leadership conviction despite the pending merger and structural challenges [7].</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the Dividend formula (yield 2.17% above 2% threshold, 50+ years of consecutive payments). Forward P/E of 8.99x scores 1.0 — deeply discounted pricing reflects the pending Somnigroup merger and revenue decline [8]. ROE of 22.6% exceeds the 15% target at 1.0, though partly amplified by a reduced equity base from years of share repurchases [8]. D/E of 152.2% scores 0.643 — elevated leverage for a shrinking business but manageable relative to the 300% floor. Revenue growth YoY of -5.5% scores 0.483, improving from Q1's -10.2% decline as Q2 2026 revenue of $999.7M beat estimates [1]. Revenue 5yr CAGR of approximately -5% scores 0.0 at floor — reflecting persistent revenue erosion from $5.15B to ~$3.9B. Profit margin of 5.6% scores 0.28 — thin margins. Dividend metrics: payout ratio 12.8% scores 1.0 (post-cut), consecutive years paid 50+ scores 1.0 (2x weight), but consecutive years growth = 0 scores 0.0 and 5yr dividend growth CAGR of -34% scores 0.0 (2x weight) — the 89% dividend cut that destroyed the Dividend King streak devastates these metrics. Weighted sum: 6.41/12 = 5.34, rounds to 5. Liquidity floor cleared at ~$30.2M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Leggett &amp; Platt's 143-year operating history once represented the quintessential infinite game player, but years of revenue decline from $5.15B to under $4B, an 89% dividend cut destroying 53 years of Dividend Aristocrat status, and the pending $2.5B Somnigroup acquisition reveal a company that has exhausted its strategic options [1][3]. The finite game pressures won — management optimized for cost-cutting and portfolio shrinkage rather than investing in long-term competitive capabilities, and the company is now being absorbed rather than continuing to play. CEO Glassman's modest insider buying ($273K) provides a faint signal of conviction but cannot offset the structural capitulation [7].</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 Pioneer' represents a cause that exists but is shallow — after 143 years, the company's identity is tied to manufacturing diversified engineered products, but no deeper purpose beyond production efficiency and scale guides strategic decisions [4]. The pending Somnigroup merger at approximately $2.5B effectively ends the company's independent Just Cause, signaling that leadership could not sustain a vision compelling enough to maintain independence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has maintained stable manufacturing operations from its Carthage, Missouri headquarters through a difficult multi-year decline, with eight stated 'Leggett DNA' cultural values providing organizational identity [4]. However, headcount has declined from 20,000+ to ~15,000 through divestitures and restructuring, Glassdoor reviews describe poor management and low compensation, Comparably rates culture D+ and CEO 63/100 [6]. The pending acquisition creates significant workforce uncertainty. Adequate but not exceptional.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learning-oriented competitive mindset in management commentary. Earnings discussions focus on demand softness, cost pressures, and the merger rationale rather than competitive improvement or learning from rivals' strengths [1]. The disruption of traditional bedding channels by DTC brands caught Leggett off-guard, and the decision to sell to Somnigroup suggests inability to compete independently against more innovative players.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Leggett &amp; Platt clung to its legacy diversified manufacturing model as revenue declined 28% from $5.15B (2022) to a projected ~$3.9B (2026) [1]. The Aerospace divestiture removed the most differentiated segment, and the ultimate resolution was accepting acquisition by Somnigroup rather than reinventing the business [3]. The company shrank rather than pivoted — no evidence of strategic adaptation driven by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89% dividend cut from $1.82 to $0.20 annually destroyed 53 years of Dividend Aristocrat status and was forced by financial necessity (leverage reduction) rather than courageous reinvestment in future capability [1]. Management withdrew 2026 guidance after the merger announcement, and the decision to sell to Somnigroup at ~$2.5B — with shareholders receiving only 9% of the combined entity — represents capitulation rather than courage [3]. CEO Glassman's $273K insider purchase is a positive signal but does not constitute a pattern of courageous capital allocation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Leggett &amp; Platt at 8.99x forward earnings is effectively a merger arbitrage play on the pending Somnigroup all-stock acquisition valued at ~$2.5B. Q2 2026 provided a positive surprise with revenue of $999.7M and EPS of $0.39 beating consensus of $0.27, suggesting the revenue decline is decelerating from Q1's -10.2% to -5.5% YoY [1]. ROE of 22.6% demonstrates efficient capital deployment despite revenue headwinds, and the company remains the dominant U.S. supplier of bedding innerspring components with meaningful switching costs. CEO Glassman's insider purchase of $273K at $11.48 and net insider buying across the board suggest leadership conviction in the merger outcome [7]. The Inspire Insight score of 45 (ALIGNED) with zero negative attributions and ten positive ESG factors provides faith-based appeal [5].</w:t>
      </w:r>
    </w:p>
    <w:p>
      <w:pPr>
        <w:spacing w:after="120"/>
      </w:pPr>
      <w:r>
        <w:rPr>
          <w:rFonts w:ascii="Calibri" w:hAnsi="Calibri"/>
          <w:b w:val="0"/>
          <w:color w:val="3A4A28"/>
          <w:sz w:val="20"/>
        </w:rPr>
        <w:t>The bear case is that Leggett is a structurally declining business nearing the end of its independent existence. Revenue has fallen 28% from $5.15B in 2022 to a projected $3.8-4.0B for FY2026, and the 5yr revenue CAGR of -5% is at the scoring floor [1]. The 89% dividend cut destroyed the income thesis that supported the stock for decades — 5yr dividend growth CAGR of -34% and consecutive years of growth at zero reflect the severity [8]. D/E of 152.2% with $1.6B+ in debt constrains balance sheet flexibility in a prolonged housing downturn. Profit margin of 5.6% and declining EPS growth (-12.9% YoY) show limited operating leverage. If the Somnigroup merger fails, the standalone company faces continued revenue erosion with no growth strategy, no innovation pipeline, and no AI strategy — the stock has traded from $50+ to $9.20 in three years [3]. Shareholders will own only 9% of the combined entity, a deeply dilutive outcome that reflects the company's weakened negotiating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Somnigroup merger expected to close by year-end 2026 — shareholder vote was held August 20, 2026, with antitrust clearance achieved in June, providing a defined timeline for value realization from the $2.5B all-stock transaction [3]</w:t>
      </w:r>
    </w:p>
    <w:p>
      <w:pPr>
        <w:spacing w:before="40" w:after="40"/>
        <w:ind w:left="283"/>
      </w:pPr>
      <w:r>
        <w:rPr>
          <w:rFonts w:ascii="Calibri" w:hAnsi="Calibri"/>
          <w:b/>
          <w:color w:val="4A6B25"/>
          <w:sz w:val="20"/>
        </w:rPr>
        <w:t xml:space="preserve">2. </w:t>
      </w:r>
      <w:r>
        <w:rPr>
          <w:rFonts w:ascii="Calibri" w:hAnsi="Calibri"/>
          <w:b w:val="0"/>
          <w:color w:val="3A4A28"/>
          <w:sz w:val="20"/>
        </w:rPr>
        <w:t>Q2 2026 earnings beat ($0.39 vs $0.27 consensus, revenue $999.7M vs $992.7M estimate) suggests the revenue decline is decelerating and the company's cost restructuring is gaining traction [1]</w:t>
      </w:r>
    </w:p>
    <w:p>
      <w:pPr>
        <w:spacing w:before="40" w:after="40"/>
        <w:ind w:left="283"/>
      </w:pPr>
      <w:r>
        <w:rPr>
          <w:rFonts w:ascii="Calibri" w:hAnsi="Calibri"/>
          <w:b/>
          <w:color w:val="4A6B25"/>
          <w:sz w:val="20"/>
        </w:rPr>
        <w:t xml:space="preserve">3. </w:t>
      </w:r>
      <w:r>
        <w:rPr>
          <w:rFonts w:ascii="Calibri" w:hAnsi="Calibri"/>
          <w:b w:val="0"/>
          <w:color w:val="3A4A28"/>
          <w:sz w:val="20"/>
        </w:rPr>
        <w:t>Post-merger integration with Somnigroup creating a vertically integrated bedding platform spanning components through finished mattress retail, with $50M in expected run-rate cost synergies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Merger completion risk — if the Somnigroup acquisition fails to close, the standalone company faces continued revenue decline with no independent growth strategy, depleted dividend, and $1.6B+ debt burden [3]</w:t>
      </w:r>
    </w:p>
    <w:p>
      <w:pPr>
        <w:spacing w:before="40" w:after="40"/>
        <w:ind w:left="283"/>
      </w:pPr>
      <w:r>
        <w:rPr>
          <w:rFonts w:ascii="Calibri" w:hAnsi="Calibri"/>
          <w:b/>
          <w:color w:val="4A6B25"/>
          <w:sz w:val="20"/>
        </w:rPr>
        <w:t xml:space="preserve">2. </w:t>
      </w:r>
      <w:r>
        <w:rPr>
          <w:rFonts w:ascii="Calibri" w:hAnsi="Calibri"/>
          <w:b w:val="0"/>
          <w:color w:val="3A4A28"/>
          <w:sz w:val="20"/>
        </w:rPr>
        <w:t>Secular decline in residential bedding and furniture demand — revenue has contracted 28% over four years and the 5yr CAGR of -5% is at the scoring floor, with no organic reversal catalyst evident [1]</w:t>
      </w:r>
    </w:p>
    <w:p>
      <w:pPr>
        <w:spacing w:before="40" w:after="40"/>
        <w:ind w:left="283"/>
      </w:pPr>
      <w:r>
        <w:rPr>
          <w:rFonts w:ascii="Calibri" w:hAnsi="Calibri"/>
          <w:b/>
          <w:color w:val="4A6B25"/>
          <w:sz w:val="20"/>
        </w:rPr>
        <w:t xml:space="preserve">3. </w:t>
      </w:r>
      <w:r>
        <w:rPr>
          <w:rFonts w:ascii="Calibri" w:hAnsi="Calibri"/>
          <w:b w:val="0"/>
          <w:color w:val="3A4A28"/>
          <w:sz w:val="20"/>
        </w:rPr>
        <w:t>D/E of 152.2% and profit margin of 5.6% leave minimal margin of safety in a prolonged housing downturn, while the destroyed Dividend Aristocrat status (89% cut) has eliminated the income investor base that supported the stock for decades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Leggett &amp; Platt's core business is physical manufacturing of engineered components — innersprings, specialty foam, wire forms, and industrial rod — operations requiring specialized metallurgy, production infrastructure, and supply chain logistics that AI cannot structurally displace [1]. Mattress and furniture manufacturers need physical springs and foam regardless of AI advances. However, AI-optimized manufacturing by competitors could erode Leggett's cost position if the company fails to adopt automation, and AI-powered DTC mattress brands have already disrupted traditional bedding channels through AI-driven marketing, design, and supply chain optimization. The company identifies AI primarily as a risk factor in SEC filings, with no disclosed AI strategy [2]. AI Opportunity (0/1): No AI revenue or AI-powered products identified. The company has not disclosed any AI-driven revenue contribution or AI product initiatives.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Leggett &amp; Platt Q2 2026 Earnings — Revenue $999.7M (beat $992.7M est.), EPS $0.39 (beat $0.27 est.), Revenue Decline Decelerating to -5.5% YoY, August 2026</w:t>
      </w:r>
    </w:p>
    <w:p>
      <w:pPr>
        <w:spacing w:before="20" w:after="20"/>
        <w:ind w:left="170"/>
      </w:pPr>
      <w:r>
        <w:rPr>
          <w:rFonts w:ascii="Calibri" w:hAnsi="Calibri"/>
          <w:b/>
          <w:color w:val="4A6B25"/>
          <w:sz w:val="15"/>
        </w:rPr>
        <w:t xml:space="preserve">2. </w:t>
      </w:r>
      <w:r>
        <w:rPr>
          <w:rFonts w:ascii="Calibri" w:hAnsi="Calibri"/>
          <w:b w:val="0"/>
          <w:color w:val="3A4A28"/>
          <w:sz w:val="17"/>
        </w:rPr>
        <w:t>Leggett &amp; Platt 10-K/10-Q SEC Filings — AI Risk Factors, Business Description, Financial Data, FY2026</w:t>
      </w:r>
    </w:p>
    <w:p>
      <w:pPr>
        <w:spacing w:before="20" w:after="20"/>
        <w:ind w:left="170"/>
      </w:pPr>
      <w:r>
        <w:rPr>
          <w:rFonts w:ascii="Calibri" w:hAnsi="Calibri"/>
          <w:b/>
          <w:color w:val="4A6B25"/>
          <w:sz w:val="15"/>
        </w:rPr>
        <w:t xml:space="preserve">3. </w:t>
      </w:r>
      <w:r>
        <w:rPr>
          <w:rFonts w:ascii="Calibri" w:hAnsi="Calibri"/>
          <w:b w:val="0"/>
          <w:color w:val="3A4A28"/>
          <w:sz w:val="17"/>
        </w:rPr>
        <w:t>Somnigroup-Leggett &amp; Platt Merger Agreement (DEFM14A) — $2.5B All-Stock Transaction at 0.1455 Exchange Ratio, Shareholder Vote August 20, 2026, $50M Expected Synergies</w:t>
      </w:r>
    </w:p>
    <w:p>
      <w:pPr>
        <w:spacing w:before="20" w:after="20"/>
        <w:ind w:left="170"/>
      </w:pPr>
      <w:r>
        <w:rPr>
          <w:rFonts w:ascii="Calibri" w:hAnsi="Calibri"/>
          <w:b/>
          <w:color w:val="4A6B25"/>
          <w:sz w:val="15"/>
        </w:rPr>
        <w:t xml:space="preserve">4. </w:t>
      </w:r>
      <w:r>
        <w:rPr>
          <w:rFonts w:ascii="Calibri" w:hAnsi="Calibri"/>
          <w:b w:val="0"/>
          <w:color w:val="3A4A28"/>
          <w:sz w:val="17"/>
        </w:rPr>
        <w:t>Leggett &amp; Platt Corporate Website — 'We Pioneer' Mission, Leggett DNA Culture, Company History Since 1883</w:t>
      </w:r>
    </w:p>
    <w:p>
      <w:pPr>
        <w:spacing w:before="20" w:after="20"/>
        <w:ind w:left="170"/>
      </w:pPr>
      <w:r>
        <w:rPr>
          <w:rFonts w:ascii="Calibri" w:hAnsi="Calibri"/>
          <w:b/>
          <w:color w:val="4A6B25"/>
          <w:sz w:val="15"/>
        </w:rPr>
        <w:t xml:space="preserve">5. </w:t>
      </w:r>
      <w:r>
        <w:rPr>
          <w:rFonts w:ascii="Calibri" w:hAnsi="Calibri"/>
          <w:b w:val="0"/>
          <w:color w:val="3A4A28"/>
          <w:sz w:val="17"/>
        </w:rPr>
        <w:t>Leggett &amp; Platt Sustainability Reports — GHG Emissions, Ethical Supply Chain, Materiality Assessment, ESG Programs, 2023-2024</w:t>
      </w:r>
    </w:p>
    <w:p>
      <w:pPr>
        <w:spacing w:before="20" w:after="20"/>
        <w:ind w:left="170"/>
      </w:pPr>
      <w:r>
        <w:rPr>
          <w:rFonts w:ascii="Calibri" w:hAnsi="Calibri"/>
          <w:b/>
          <w:color w:val="4A6B25"/>
          <w:sz w:val="15"/>
        </w:rPr>
        <w:t xml:space="preserve">6. </w:t>
      </w:r>
      <w:r>
        <w:rPr>
          <w:rFonts w:ascii="Calibri" w:hAnsi="Calibri"/>
          <w:b w:val="0"/>
          <w:color w:val="3A4A28"/>
          <w:sz w:val="17"/>
        </w:rPr>
        <w:t>Glassdoor/Comparably Reviews — Culture Rated D+, CEO 63/100, Low Compensation and Poor Management Complaints,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Insider Trading — CEO Karl Glassman Bought $273K at $11.48, Five Directors Acquired Shares April 2026, Net Insider Buying with No Selling Over Past Year, Meyka/iTiger</w:t>
      </w:r>
    </w:p>
    <w:p>
      <w:pPr>
        <w:spacing w:before="20" w:after="20"/>
        <w:ind w:left="170"/>
      </w:pPr>
      <w:r>
        <w:rPr>
          <w:rFonts w:ascii="Calibri" w:hAnsi="Calibri"/>
          <w:b/>
          <w:color w:val="4A6B25"/>
          <w:sz w:val="15"/>
        </w:rPr>
        <w:t xml:space="preserve">8. </w:t>
      </w:r>
      <w:r>
        <w:rPr>
          <w:rFonts w:ascii="Calibri" w:hAnsi="Calibri"/>
          <w:b w:val="0"/>
          <w:color w:val="3A4A28"/>
          <w:sz w:val="17"/>
        </w:rPr>
        <w:t>Yahoo Finance — LEG Key Statistics: Forward P/E 8.99x, ROE 22.6%, D/E 152.2%, Profit Margin 5.6%, Stock Price $9.20, Avg Volume 3.28M,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