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LEN</w:t>
      </w:r>
      <w:r>
        <w:rPr>
          <w:rFonts w:ascii="Calibri" w:hAnsi="Calibri"/>
          <w:b/>
          <w:color w:val="1A2010"/>
          <w:sz w:val="40"/>
        </w:rPr>
        <w:t xml:space="preserve">  Lennar Corporation</w:t>
      </w:r>
    </w:p>
    <w:p>
      <w:pPr>
        <w:spacing w:after="120"/>
      </w:pPr>
      <w:r>
        <w:rPr>
          <w:rFonts w:ascii="Calibri" w:hAnsi="Calibri"/>
          <w:b/>
          <w:color w:val="6E8450"/>
          <w:sz w:val="18"/>
        </w:rPr>
        <w:t>DIVIDEND SLEEVE · 2026-09-03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Residential Construction · NYSE · United States</w:t>
      </w:r>
    </w:p>
    <w:p>
      <w:pPr>
        <w:spacing w:after="80"/>
      </w:pPr>
      <w:r>
        <w:rPr>
          <w:rFonts w:ascii="Calibri" w:hAnsi="Calibri"/>
          <w:b w:val="0"/>
          <w:color w:val="3A4A28"/>
          <w:sz w:val="20"/>
        </w:rPr>
        <w:t>Lennar Corporation is one of the largest homebuilders in the United States, constructing and selling single-family attached and detached homes, townhomes, and condominiums primarily for first-time, move-up, and active adult buyers. The company also provides mortgage financing through Lennar Mortgage, title insurance, and closing services. Founded in 1954 and headquartered in Miami, Lennar completed its asset-light transformation via the Millrose Properties spin-off. Q2 FY2026 EPS of $1.31 beat estimates but revenue declined 13% in Q1 and continues softening. Stuart Miller serves as sole CEO following Jon Jaffe's retirement. Market cap approximately $21B.</w:t>
      </w:r>
    </w:p>
    <w:p>
      <w:r>
        <w:rPr>
          <w:rFonts w:ascii="Calibri" w:hAnsi="Calibri"/>
          <w:b/>
          <w:color w:val="6E8450"/>
          <w:sz w:val="18"/>
        </w:rPr>
        <w:t>12,532 Employees · https://www.lennar.com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Lennar has pioneered the asset-light 'land-light' homebuilding model, spinning off Millrose Properties to hold land options off-balance-sheet and reducing capital intensity — the most significant business model transformation in major homebuilder history [1]. The 'Everything's Included' pricing strategy bundles upgrades at lower total cost, addressing affordability. LenX, the company's innovation arm, integrates prop-tech into the homebuilding process. However, the core product — single-family homes — remains structurally unchanged. AI Deployment (1/2): Lennar deploys construction scheduling AI, predictive analytics for land acquisition, BIM (Building Information Modeling), and digital mortgage processing through Lennar Mortgage [2]. CTO Scott Spradley has emphasized that 'you can't bolt digital onto analog systems and expect transformation,' signaling genuine tech commitment. These generate efficiency gains but are not standalone AI products. Market Share (1/2): Lennar is the #2 U.S. homebuilder by revenue behind D.R. Horton, with strong positions in Florida, Texas, and the Sunbelt [1]. Q2 FY2026 deliveries held relatively steady but new orders are softening as affordability pressures mount. Product Pipeline (1/2): Moderated FY2026 delivery guidance to 82,000-83,000 homes, with active community count expansion continuing. No specific next-gen product launches with named timelines beyond ongoing community development. R&amp;D Intensity (1/1): Investment in construction technology, BIM, Lennar Technology Group (LTG), and supply chain innovation is above industry average for homebuilders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Lennar's mission to build quality homes for all generations of homebuyers is clearly articulated and grounded in its 70-year history. The 'Everything's Included' model addresses housing affordability — a critical social need — but the mission does not reach for a transformative societal vision beyond accessible homeownership [2]. Community Impact (2/2): Lennar's charitable foundation supports affordable housing initiatives, workforce development, and disaster relief. The company's focus on first-time homebuyers and energy-efficient construction across its product lines addresses housing affordability — a fundamental social challenge [2]. Employee Retention (1/2): Lennar's 12,532 employees operate in a competitive construction labor market. The company invests in trade skill development and has maintained workforce stability through housing cycles, but specific retention metrics are not publicly disclosed. Insider Buying (0/2): The Miller family founders maintain significant equity positions but no evidence of meaningful net insider buying in the last 12 months was identified. Stuart Miller primarily holds legacy positions.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D/E of 27.8% is exceptionally low, scoring 1.0 against the 70% target (1x weight) — reflecting the asset-light Millrose transformation [3]. Forward P/E of 15.61 is near the 20 target, scoring 1.0 (1x weight), representing deep cyclical value [3]. ROE of 8.41% is below the 15% target, scoring 0.56 (1x weight). Revenue growth YoY of -7.45% drags the score, at 0.42 (1x weight) [3]. Revenue growth 5yr CAGR of approximately 8.5% scores 0.9 (1x weight). Profit margin of 6.08% scores 0.30 (1x weight) [3]. Dividend metrics are excellent: payout ratio 28.96% scores 1.0 (1x weight); consecutive years paid 12 scores 1.0 (2x weight); consecutive years growth 10 scores 1.0 (1x weight); 5yr dividend growth CAGR of 26.65% scores 1.0 (2x weight). Weighted sum: 10.18 out of max 12. Score: 10.18/12 x 10 = 8.5 -&gt; 8. Liquidity floor passes easily: 4M shares x $86.49 = ~$346M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Lennar's 70-year history through multiple housing cycles — including surviving the 2008-2012 Great Recession that eliminated many competitors — demonstrates infinite game durability. The asset-light Millrose transformation positions the company for long-term resilience. However, the cyclical nature of homebuilding, reliance on interest rate environments, the incentive-driven sales strategy compressing margins, and the Q1 FY2026 earnings decline of 56% reveal finite-game pressures to maintain volume at the expense of profitability. The ESG resistance — shareholders pushing for emissions targets against management's recommendation — shows governance tension [4].</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Lennar's focus on making homeownership accessible — particularly for first-time buyers through the 'Everything's Included' pricing model — represents a genuine social purpose validated by 70 years of execution through multiple housing cycles, including the existential 2008 crisis [2]. Housing is a fundamental human need, and Lennar's scale enables cost efficiencies that lower barriers to ownership. However, this cause is shared by all homebuilders and does not uniquely differentiate Lennar's strategic decisions. The recent ESG resistance and lack of climate transition plan suggest the cause has limits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Lennar's 12,532 employees span corporate staff and field operations across dozens of U.S. markets. The homebuilding industry faces chronic labor shortages, and Lennar invests in trade development programs. The Millrose spin-off and Jon Jaffe's retirement (December 2025) create transitional uncertainty, though the appointment of Jim Parker as COO and David Grove as EVP of Homebuilding suggests planned succession [2]. No specific employee satisfaction or retention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Lennar actively benchmarks against D.R. Horton (#1 by volume), NVR (highest margins), and Toll Brothers (luxury segment) with a learning orientation. Management's pivot to asset-light via Millrose was partly inspired by NVR's capital-efficient model — a direct example of learning from a worthy rival's strength [1]. The competitive response of deploying incentives to maintain market share shows engagement with the competitive landscape oriented toward improving LEN's own position.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Millrose Properties spin-off represents a fundamental strategic reinvention — transforming Lennar from a capital-heavy land-bank model to an asset-light builder with options rather than owned inventory [1]. This is the most significant business model transformation in major homebuilder history and demonstrates willingness to cannibalize the traditional approach for long-term competitiveness. However, the core business is still building and selling homes — not a category-transcending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Lennar's willingness to accept margin compression (gross margin declining, Q1 EPS down 52% to $0.93, Q2 EPS down 31% to $1.31) and deploy heavy incentives to maintain volume and market share during the downturn reflects strategic conviction in scale advantages [1]. The Millrose spin-off was a bold structural move. However, the moderated delivery guidance and resistance to shareholder ESG proposals show limits to courageous leadership when it's costly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Lennar at 15.6x forward earnings with a fortress 27.8% D/E ratio offers deep cyclical value in the nation's second-largest homebuilder [3]. The Millrose Properties spin-off has fundamentally de-risked the balance sheet, creating an asset-light model with land options rather than owned inventory — a structural advantage through housing cycles [1]. The 2.31% dividend yield with a conservative 28.96% payout ratio and 26.65% five-year dividend growth CAGR provide income with substantial room for continued increases. Q2 FY2026 EPS of $1.31 beat estimates by 5.65%, suggesting the earnings trough may be forming [1]. Housing affordability remains the binding constraint, but Lennar's 'Everything's Included' model, scale-driven cost advantages, and 3-5 million unit national housing supply deficit create a structural demand floor [2]. The Inspire Impact Score of 39 (ALIGNED) with 14 positive attributions supports faith-based allocation.</w:t>
      </w:r>
    </w:p>
    <w:p>
      <w:pPr>
        <w:spacing w:after="120"/>
      </w:pPr>
      <w:r>
        <w:rPr>
          <w:rFonts w:ascii="Calibri" w:hAnsi="Calibri"/>
          <w:b w:val="0"/>
          <w:color w:val="3A4A28"/>
          <w:sz w:val="20"/>
        </w:rPr>
        <w:t>The bear case centers on cyclical deterioration and margin compression. Q1 FY2026 home sale revenues fell 13% to $6.3B with EPS plunging 52% to $0.93, while Q2 showed continued pressure with EPS down 31% to $1.31 from $1.90 [1]. TTM revenue of $32.7B is down 7.45% YoY and TTM earnings declined 47.2%. ROE of 8.41% and profit margin of 6.08% are well below historical norms, reflecting the severity of the housing downturn driven by persistent mortgage rates above 6.5% [3]. FY2026 EPS forecast of $6.50 represents a 19% decline from prior estimates. The ESG controversy — 37% of independent shareholders demanding emissions targets against management's recommendation, and Lennar's lack of a climate transition plan despite 99% of emissions in its value chain — creates governance risk [4]. If the rate environment does not improve, further margin compression and volume declines are likely, and the PEG ratio of 2.96 suggests the market already prices in meaningful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rate decline below 6% would unlock substantial pent-up housing demand, with Lennar's 82,000+ annual delivery capacity positioned to capture disproportionate share of the recovery [1]</w:t>
      </w:r>
    </w:p>
    <w:p>
      <w:pPr>
        <w:spacing w:before="40" w:after="40"/>
        <w:ind w:left="283"/>
      </w:pPr>
      <w:r>
        <w:rPr>
          <w:rFonts w:ascii="Calibri" w:hAnsi="Calibri"/>
          <w:b/>
          <w:color w:val="4A6B25"/>
          <w:sz w:val="20"/>
        </w:rPr>
        <w:t xml:space="preserve">2. </w:t>
      </w:r>
      <w:r>
        <w:rPr>
          <w:rFonts w:ascii="Calibri" w:hAnsi="Calibri"/>
          <w:b w:val="0"/>
          <w:color w:val="3A4A28"/>
          <w:sz w:val="20"/>
        </w:rPr>
        <w:t>Asset-light Millrose model generating higher ROIC through housing cycles — as the land option strategy matures, capital efficiency should drive valuation re-rating beyond the current 15.6x forward P/E [1]</w:t>
      </w:r>
    </w:p>
    <w:p>
      <w:pPr>
        <w:spacing w:before="40" w:after="40"/>
        <w:ind w:left="283"/>
      </w:pPr>
      <w:r>
        <w:rPr>
          <w:rFonts w:ascii="Calibri" w:hAnsi="Calibri"/>
          <w:b/>
          <w:color w:val="4A6B25"/>
          <w:sz w:val="20"/>
        </w:rPr>
        <w:t xml:space="preserve">3. </w:t>
      </w:r>
      <w:r>
        <w:rPr>
          <w:rFonts w:ascii="Calibri" w:hAnsi="Calibri"/>
          <w:b w:val="0"/>
          <w:color w:val="3A4A28"/>
          <w:sz w:val="20"/>
        </w:rPr>
        <w:t>Housing supply deficit of 3-5 million units nationally provides a structural demand floor that limits downside and supports long-term volume growth regardless of near-term rate headwinds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mortgage rates above 6.5% extending the housing downturn beyond FY2026, with Q1 home sale revenues already down 13% and FY2026 EPS forecast declining 19% to $6.50 [1]</w:t>
      </w:r>
    </w:p>
    <w:p>
      <w:pPr>
        <w:spacing w:before="40" w:after="40"/>
        <w:ind w:left="283"/>
      </w:pPr>
      <w:r>
        <w:rPr>
          <w:rFonts w:ascii="Calibri" w:hAnsi="Calibri"/>
          <w:b/>
          <w:color w:val="4A6B25"/>
          <w:sz w:val="20"/>
        </w:rPr>
        <w:t xml:space="preserve">2. </w:t>
      </w:r>
      <w:r>
        <w:rPr>
          <w:rFonts w:ascii="Calibri" w:hAnsi="Calibri"/>
          <w:b w:val="0"/>
          <w:color w:val="3A4A28"/>
          <w:sz w:val="20"/>
        </w:rPr>
        <w:t>ESG governance risk — 37% of independent shareholders voted for emissions targets against management's recommendation, and Lennar lags peers in disclosing climate transition plans despite 99% value chain emissions concentration [4]</w:t>
      </w:r>
    </w:p>
    <w:p>
      <w:pPr>
        <w:spacing w:before="40" w:after="40"/>
        <w:ind w:left="283"/>
      </w:pPr>
      <w:r>
        <w:rPr>
          <w:rFonts w:ascii="Calibri" w:hAnsi="Calibri"/>
          <w:b/>
          <w:color w:val="4A6B25"/>
          <w:sz w:val="20"/>
        </w:rPr>
        <w:t xml:space="preserve">3. </w:t>
      </w:r>
      <w:r>
        <w:rPr>
          <w:rFonts w:ascii="Calibri" w:hAnsi="Calibri"/>
          <w:b w:val="0"/>
          <w:color w:val="3A4A28"/>
          <w:sz w:val="20"/>
        </w:rPr>
        <w:t>Revenue decline of -7.45% YoY with TTM earnings down 47.2% demonstrates the cyclical vulnerability inherent in homebuilding, and heavy incentive deployment could trigger an industry margin race to the bottom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Homebuilding is a physically intensive, locally regulated, relationship-driven business with minimal direct AI substitution risk. Homes must be built on specific lots, inspected by local authorities, and sold through a process involving zoning, permitting, and physical construction — none of which AI can displace [1]. The vertically integrated model (mortgage, title, insurance) provides additional structural moats. However, AI-driven design optimization by competitors could pressure differentiation, AI-powered real estate platforms could disintermediate customer acquisition, and nimble AI-native disruptors present a real if distant threat [2]. Lennar must treat AI not as an IT project but as a fundamental transformation. AI Opportunity (1/1): Lennar deploys construction scheduling AI, predictive analytics for land acquisition, BIM, and digital mortgage processing through its Lennar Technology Group [2]. CTO Scott Spradley's emphasis on genuine digital transformation rather than 'bolting digital onto analog' positions LTG as a tailwind for capturing efficiency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Lennar Q1 and Q2 FY2026 Earnings Releases — Q1 Revenue $6.3B (-13%), EPS $0.93 (-52%); Q2 EPS $1.31 (Beat by 5.65%); Delivery Guidance 82,000-83,000 Homes, March-June 2026</w:t>
      </w:r>
    </w:p>
    <w:p>
      <w:pPr>
        <w:spacing w:before="20" w:after="20"/>
        <w:ind w:left="170"/>
      </w:pPr>
      <w:r>
        <w:rPr>
          <w:rFonts w:ascii="Calibri" w:hAnsi="Calibri"/>
          <w:b/>
          <w:color w:val="4A6B25"/>
          <w:sz w:val="15"/>
        </w:rPr>
        <w:t xml:space="preserve">2. </w:t>
      </w:r>
      <w:r>
        <w:rPr>
          <w:rFonts w:ascii="Calibri" w:hAnsi="Calibri"/>
          <w:b w:val="0"/>
          <w:color w:val="3A4A28"/>
          <w:sz w:val="17"/>
        </w:rPr>
        <w:t>Lennar Corporation — Millrose Spin-off, Digital Platform, LenX Innovation Arm, Everything's Included Strategy, CTO Scott Spradley Tech Vision,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GuruFocus — LEN Key Statistics: Forward P/E 15.61, D/E 27.8%, ROE 8.41%, Profit Margin 6.08%, PEG 2.96, Div Yield 2.31%, Stock Price $86.49,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Lennar ESG Controversy — 37% Independent Shareholder Vote for Emissions Targets (Against Management Recommendation), Lack of Climate Transition Plan, Morningstar/SEC Proxy 2024-2025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