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LFST</w:t>
      </w:r>
      <w:r>
        <w:rPr>
          <w:rFonts w:ascii="Calibri" w:hAnsi="Calibri"/>
          <w:b/>
          <w:color w:val="1A2010"/>
          <w:sz w:val="40"/>
        </w:rPr>
        <w:t xml:space="preserve">  LifeStance Health Group, Inc.</w:t>
      </w:r>
    </w:p>
    <w:p>
      <w:pPr>
        <w:spacing w:after="120"/>
      </w:pPr>
      <w:r>
        <w:rPr>
          <w:rFonts w:ascii="Calibri" w:hAnsi="Calibri"/>
          <w:b/>
          <w:color w:val="6E8450"/>
          <w:sz w:val="18"/>
        </w:rPr>
        <w:t>GROWTH SLEEVE · 2026-09-11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Outpatient Mental Health · NASDAQ · United States</w:t>
      </w:r>
    </w:p>
    <w:p>
      <w:pPr>
        <w:spacing w:after="80"/>
      </w:pPr>
      <w:r>
        <w:rPr>
          <w:rFonts w:ascii="Calibri" w:hAnsi="Calibri"/>
          <w:b w:val="0"/>
          <w:color w:val="3A4A28"/>
          <w:sz w:val="20"/>
        </w:rPr>
        <w:t>LifeStance Health is one of the largest outpatient mental health platforms in the U.S., operating more than 550 centers across 33 states with over 8,500 psychiatrists, nurse practitioners, psychologists, and therapists, built primarily through an M&amp;A roll-up strategy consolidating independent practices [1]. Q1 2026 revenue was $403.5M (+21% YoY) on 18% visit-volume growth and an 11% YoY increase in clinician headcount, with full-year 2026 revenue guidance raised to $1.64-1.68B [1]. CFO-turned-CEO Dave Bourdon took over in early 2025 from Ken Burdick, who moved to Executive Chairman [2].</w:t>
      </w:r>
    </w:p>
    <w:p>
      <w:r>
        <w:rPr>
          <w:rFonts w:ascii="Calibri" w:hAnsi="Calibri"/>
          <w:b/>
          <w:color w:val="6E8450"/>
          <w:sz w:val="18"/>
        </w:rPr>
        <w:t>8,500 Employees · https://lifestance.com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LifeStance's growth has come primarily from a 'tuck-in' M&amp;A roll-up strategy consolidating independent mental health practices and geographic expansion (8,349 clinicians, +11% YoY) rather than product innovation or a business-model pivot [1]. AI Deployment (2/2): The company has deployed AI tools in revenue cycle management and patient scheduling, is rolling out AI for clinician documentation, created a dedicated 'Head of AI Transformation &amp; Enablement' role, and hired a CTO (Vaughn Paunovich) specifically to lead AI-enabled digital transformation, with management describing 2026 onward productivity gains from these investments [3]. Market Share (1/2): LifeStance describes itself as one of the largest outpatient mental health platforms nationally, but no specific market-share percentage or share-gain data was found. Product Pipeline (1/2): Clinician-documentation AI and continued digital-tool rollout are directionally described but lack specific named products with committed launch dates. R&amp;D Intensity (0/1): No R&amp;D-as-%-of-revenue data was found for this services-based (not product-R&amp;D-driven)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LifeStance's stated mission — 'to help people lead healthier, more fulfilling lives by improving access to trusted, affordable, and personalized mental healthcare' — is clear and identifies what the company does and for whom, but is not distinctive relative to numerous mental-health-access peers (Talkspace, BetterHelp, Acadia) [4]. Community Impact (1/2): The LifeStance Health Foundation actively funds grantees advancing mental health access, representing general corporate philanthropy, though specific dollar amounts were not disclosed [4]. Employee Retention (0/2): Clinician turnover is a disclosed 'major financial challenge and barrier to growth,' with independent estimates putting annualized clinician churn near 28% (71.9% retention); the company also settled a shareholder class-action lawsuit for approximately $50M over allegations it misled investors about its clinician retention rate, and separate lawsuits allege LifeStance forced clinicians into salary-advance repayment terms described by plaintiffs as 'indentured servitude' [5]. Insider Buying (0/2): 2026 Form 4 filings show only sales — Director Robert Bessler (~$492K), CTO Vukasin Paunovich (~$44K shares), and COO Lisa K. Miller — with no offsetting insider purchases identified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weighting (ROE and 5yr Revenue CAGR at 2x; Forward PEG unavailable and excluded from the weighted calculation). Revenue growth is a clear strength: Q1 2026 YoY growth of 21% and an approximate 5-year revenue CAGR near 21% (2021's ~$668M to 2025's ~$1.42B guided midpoint) both score at the 1.0 cap, and Debt-to-Equity of 32% comfortably clears the 70% target (1.0). However, profitability remains thin for a company of this scale — ROE of 3.43% (0.23 of the 15% target) and profit margin of 3.19% (0.16 of the 20% target) — and Forward P/E of 70.27x sits above the 60x floor, scoring 0.0. Liquidity is not a concern: ~4.0M shares/day at $13.00 is roughly $52.4M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LifeStance scores as a finite player under Sinek's lens: its business model is a private-equity-style roll-up of independent practices rather than an evolving cause-driven strategy, and multiple lawsuits and a $50M shareholder settlement allege the company prioritized growth optics and clinician-cost extraction over the trust of the clinicians its stated mission depends on, with rapid C-suite turnover (three CFOs in three years) compounding the instability.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Improving access to affordable mental healthcare is a legitimate service-oriented cause, but it is undermined by direct evidence it is not being lived out — lawsuits alleging clinicians were coerced into repaying 'indentured servitude'-style salary advances and a ~$50M shareholder settlement for misrepresenting clinician retention to investors both point to a gap between stated purpose and internal practice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Independent estimates put annualized clinician turnover near 28%, the company has cycled through three CFOs in three years (2021-2023), and pending litigation alleges the company structured compensation in ways former clinicians describe as coercive — a pattern consistent with a low-trust organization rather than a circle of safety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framing competitors (Talkspace, Acadia, regional practice groups) as sources of self-improvement or acknowledging their strengths; available commentary centers on LifeStance's own scale and M&amp;A pipeline rather than competitive posture in either direction.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LifeStance's strategy — acquiring and consolidating independent mental health practices under a national platform — has been consistent since founding and its 2021 IPO, and the 2026 'revival' of tuck-in M&amp;A is a continuation of the original playbook rather than a dramatic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growth or earnings for long-term capability; instead, the record shows rapid executive turnover (three CFOs between 2021 and 2023) and a continued acquisition-driven growth strategy that outside researchers (Hindenburg Research) have characterized as prioritizing rollup economics over organizational stability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LifeStance is delivering strong top-line growth off a scaled outpatient mental-health platform: Q1 2026 revenue of $403.5M (+21% YoY) beat estimates, Adjusted EBITDA rose 48% to $51.1M (12.7% margin), and management raised full-year 2026 guidance to $1.64-1.68B in revenue and $200-220M in Adjusted EBITDA, with clinician headcount up 11% YoY to 8,349 [1]. Revenue growth (5yr CAGR approximately 21%) and manageable leverage (Debt-to-Equity of 32%) reflect real scale advantages in a fragmented outpatient mental-health market, and increasing AI investment in revenue cycle management and scheduling is beginning to show up in improving margins. The core clinical business — licensed therapy and medication management reimbursed through insurance — carries structural protection from AI-native disruption given licensing and liability requirements.</w:t>
      </w:r>
    </w:p>
    <w:p>
      <w:pPr>
        <w:spacing w:after="120"/>
      </w:pPr>
      <w:r>
        <w:rPr>
          <w:rFonts w:ascii="Calibri" w:hAnsi="Calibri"/>
          <w:b w:val="0"/>
          <w:color w:val="3A4A28"/>
          <w:sz w:val="20"/>
        </w:rPr>
        <w:t>The bear case is centered on trust and governance, not growth. LifeStance disclosed clinician turnover as a 'major financial challenge and barrier to growth,' with independent estimates putting annualized churn near 28%; the company separately settled a shareholder class-action for approximately $50M over allegations it misrepresented its clinician retention rate to investors, and two lawsuits allege the company forced clinicians into coercive salary-advance repayment terms plaintiffs likened to indentured servitude [5]. Profitability remains thin (ROE 3.43%, profit margin 3.19%) for a company trading at 70.27x forward earnings, and three CFO changes between 2021 and 2023 plus a 2025 CEO transition point to organizational instability. Multiple 2026 insider sales by the CTO, COO, and a director with no offsetting purchases add a governance yellow flag on top of the underlying retention and litigation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of $1.64-1.68B revenue and $200-220M Adjusted EBITDA, tracking a Q1 beat (revenue +21% YoY, Adjusted EBITDA +48%), which would extend the margin-expansion narrative if sustained [1]</w:t>
      </w:r>
    </w:p>
    <w:p>
      <w:pPr>
        <w:spacing w:before="40" w:after="40"/>
        <w:ind w:left="283"/>
      </w:pPr>
      <w:r>
        <w:rPr>
          <w:rFonts w:ascii="Calibri" w:hAnsi="Calibri"/>
          <w:b/>
          <w:color w:val="4A6B25"/>
          <w:sz w:val="20"/>
        </w:rPr>
        <w:t xml:space="preserve">2. </w:t>
      </w:r>
      <w:r>
        <w:rPr>
          <w:rFonts w:ascii="Calibri" w:hAnsi="Calibri"/>
          <w:b w:val="0"/>
          <w:color w:val="3A4A28"/>
          <w:sz w:val="20"/>
        </w:rPr>
        <w:t>AI-enabled revenue cycle management, scheduling, and clinician documentation tools reaching full deployment in 2026, which management expects to drive 'significant productivity gains' and further margin improvement [3]</w:t>
      </w:r>
    </w:p>
    <w:p>
      <w:pPr>
        <w:spacing w:before="40" w:after="40"/>
        <w:ind w:left="283"/>
      </w:pPr>
      <w:r>
        <w:rPr>
          <w:rFonts w:ascii="Calibri" w:hAnsi="Calibri"/>
          <w:b/>
          <w:color w:val="4A6B25"/>
          <w:sz w:val="20"/>
        </w:rPr>
        <w:t xml:space="preserve">3. </w:t>
      </w:r>
      <w:r>
        <w:rPr>
          <w:rFonts w:ascii="Calibri" w:hAnsi="Calibri"/>
          <w:b w:val="0"/>
          <w:color w:val="3A4A28"/>
          <w:sz w:val="20"/>
        </w:rPr>
        <w:t>Revived tuck-in M&amp;A strategy adding new practices and geographies to the national platform, extending the scale advantages that support payer contracting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Clinician turnover (estimated ~28% annualized) directly threatens the growth model, which depends on expanding clinician headcount (+11% YoY) to drive visit volume; the ~$50M shareholder settlement over retention-rate disclosures signals this has already been a material, litigated issue [5]</w:t>
      </w:r>
    </w:p>
    <w:p>
      <w:pPr>
        <w:spacing w:before="40" w:after="40"/>
        <w:ind w:left="283"/>
      </w:pPr>
      <w:r>
        <w:rPr>
          <w:rFonts w:ascii="Calibri" w:hAnsi="Calibri"/>
          <w:b/>
          <w:color w:val="4A6B25"/>
          <w:sz w:val="20"/>
        </w:rPr>
        <w:t xml:space="preserve">2. </w:t>
      </w:r>
      <w:r>
        <w:rPr>
          <w:rFonts w:ascii="Calibri" w:hAnsi="Calibri"/>
          <w:b w:val="0"/>
          <w:color w:val="3A4A28"/>
          <w:sz w:val="20"/>
        </w:rPr>
        <w:t>Pending lawsuits alleging coercive salary-advance repayment practices toward clinicians create ongoing legal, reputational, and clinician-recruitment risk directly tied to the company's stated access-to-care mission [5]</w:t>
      </w:r>
    </w:p>
    <w:p>
      <w:pPr>
        <w:spacing w:before="40" w:after="40"/>
        <w:ind w:left="283"/>
      </w:pPr>
      <w:r>
        <w:rPr>
          <w:rFonts w:ascii="Calibri" w:hAnsi="Calibri"/>
          <w:b/>
          <w:color w:val="4A6B25"/>
          <w:sz w:val="20"/>
        </w:rPr>
        <w:t xml:space="preserve">3. </w:t>
      </w:r>
      <w:r>
        <w:rPr>
          <w:rFonts w:ascii="Calibri" w:hAnsi="Calibri"/>
          <w:b w:val="0"/>
          <w:color w:val="3A4A28"/>
          <w:sz w:val="20"/>
        </w:rPr>
        <w:t>Valuation (Forward P/E 70.27x) leaves little room for error against thin current profitability (ROE 3.43%, profit margin 3.19%), so any deceleration in visit growth or margin expansion could trigger significant multiple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Licensed outpatient therapy and psychiatric medication management require credentialed clinicians for insurance billing, prescribing authority, and liability purposes — structural regulatory and licensing barriers that AI chatbots and mental-health apps cannot legally substitute for diagnosed conditions [1]. Some substitution risk exists at the margin from lower-acuity AI companion/wellness apps drawing self-pay demand away from the lowest-severity segment of the market, and analysts have flagged 'digital disruption' as a competitive risk factor, but the core insurance-reimbursed clinical business is well protected. AI Opportunity (0/1): AI investment is directed at internal efficiency (revenue cycle management, scheduling, documentation) rather than a monetized AI product, and no AI-attributable revenue has been disclosed, so no tiebreaker point is earned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LifeStance Q1 2026 Results — Revenue $403.5M (+21% YoY), Adjusted EBITDA $51.1M (+48%), FY2026 Guidance Raised to $1.64-1.68B — GlobeNewswire,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LifeStance Appoints Dave Bourdon as CEO; Ken Burdick Named Executive Chairman — PRNewswire, Yahoo Finance, 2025</w:t>
      </w:r>
    </w:p>
    <w:p>
      <w:pPr>
        <w:spacing w:before="20" w:after="20"/>
        <w:ind w:left="170"/>
      </w:pPr>
      <w:r>
        <w:rPr>
          <w:rFonts w:ascii="Calibri" w:hAnsi="Calibri"/>
          <w:b/>
          <w:color w:val="4A6B25"/>
          <w:sz w:val="15"/>
        </w:rPr>
        <w:t xml:space="preserve">3. </w:t>
      </w:r>
      <w:r>
        <w:rPr>
          <w:rFonts w:ascii="Calibri" w:hAnsi="Calibri"/>
          <w:b w:val="0"/>
          <w:color w:val="3A4A28"/>
          <w:sz w:val="17"/>
        </w:rPr>
        <w:t>LifeStance AI Transformation — CTO Vaughn Paunovich, RCM/Scheduling/Documentation AI Deployment — Yahoo Finance, Behavioral Health Business, 2025-2026; LifeStance 'Head of AI Transformation &amp; Enablement' job posting</w:t>
      </w:r>
    </w:p>
    <w:p>
      <w:pPr>
        <w:spacing w:before="20" w:after="20"/>
        <w:ind w:left="170"/>
      </w:pPr>
      <w:r>
        <w:rPr>
          <w:rFonts w:ascii="Calibri" w:hAnsi="Calibri"/>
          <w:b/>
          <w:color w:val="4A6B25"/>
          <w:sz w:val="15"/>
        </w:rPr>
        <w:t xml:space="preserve">4. </w:t>
      </w:r>
      <w:r>
        <w:rPr>
          <w:rFonts w:ascii="Calibri" w:hAnsi="Calibri"/>
          <w:b w:val="0"/>
          <w:color w:val="3A4A28"/>
          <w:sz w:val="17"/>
        </w:rPr>
        <w:t>LifeStance Health Foundation Mission and Grantee Announcements — investor.lifestance.com</w:t>
      </w:r>
    </w:p>
    <w:p>
      <w:pPr>
        <w:spacing w:before="20" w:after="20"/>
        <w:ind w:left="170"/>
      </w:pPr>
      <w:r>
        <w:rPr>
          <w:rFonts w:ascii="Calibri" w:hAnsi="Calibri"/>
          <w:b/>
          <w:color w:val="4A6B25"/>
          <w:sz w:val="15"/>
        </w:rPr>
        <w:t xml:space="preserve">5. </w:t>
      </w:r>
      <w:r>
        <w:rPr>
          <w:rFonts w:ascii="Calibri" w:hAnsi="Calibri"/>
          <w:b w:val="0"/>
          <w:color w:val="3A4A28"/>
          <w:sz w:val="17"/>
        </w:rPr>
        <w:t>LifeStance Clinician Turnover, $50M Shareholder Class-Action Settlement, Salary-Advance Lawsuits — Behavioral Health Business, Hindenburg Research, The Bear Cave, 2023-2026</w:t>
      </w:r>
    </w:p>
    <w:p>
      <w:pPr>
        <w:spacing w:before="20" w:after="20"/>
        <w:ind w:left="170"/>
      </w:pPr>
      <w:r>
        <w:rPr>
          <w:rFonts w:ascii="Calibri" w:hAnsi="Calibri"/>
          <w:b/>
          <w:color w:val="4A6B25"/>
          <w:sz w:val="15"/>
        </w:rPr>
        <w:t xml:space="preserve">6. </w:t>
      </w:r>
      <w:r>
        <w:rPr>
          <w:rFonts w:ascii="Calibri" w:hAnsi="Calibri"/>
          <w:b w:val="0"/>
          <w:color w:val="3A4A28"/>
          <w:sz w:val="17"/>
        </w:rPr>
        <w:t>LifeStance Insider Trading Filings (Form 4) — GuruFocus, StockTitan, The Motley Fool, 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MacroTrends — LFST Key Statistics: Forward P/E 70.27x, ROE 3.43%, Profit Margin 3.19%, D/E 32%, Stock Price $13.00,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