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LGVN</w:t>
      </w:r>
      <w:r>
        <w:rPr>
          <w:rFonts w:ascii="Calibri" w:hAnsi="Calibri"/>
          <w:b/>
          <w:color w:val="1A2010"/>
          <w:sz w:val="40"/>
        </w:rPr>
        <w:t xml:space="preserve">  Longeveron Inc.</w:t>
      </w:r>
    </w:p>
    <w:p>
      <w:pPr>
        <w:spacing w:after="120"/>
      </w:pPr>
      <w:r>
        <w:rPr>
          <w:rFonts w:ascii="Calibri" w:hAnsi="Calibri"/>
          <w:b/>
          <w:color w:val="6E8450"/>
          <w:sz w:val="18"/>
        </w:rPr>
        <w:t>GROWTH SLEEVE · 2026-10-20 · Inspire: 44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NCM · United States</w:t>
      </w:r>
    </w:p>
    <w:p>
      <w:pPr>
        <w:spacing w:after="80"/>
      </w:pPr>
      <w:r>
        <w:rPr>
          <w:rFonts w:ascii="Calibri" w:hAnsi="Calibri"/>
          <w:b w:val="0"/>
          <w:color w:val="3A4A28"/>
          <w:sz w:val="20"/>
        </w:rPr>
        <w:t>Longeveron is a clinical-stage biotechnology company developing laromestrocel (LOMECEL-B), an allogeneic mesenchymal stem cell therapy sourced from young, healthy donor bone marrow, for aging-related and life-threatening conditions. The company is running pivotal trials for hypoplastic left heart syndrome (HLHS), Alzheimer's disease, and pediatric dilated cardiomyopathy with five distinct FDA designations. Founded in 2014 and headquartered in Miami, Florida, LGVN reported Q2 2026 revenue of $287K (down 9.2% YoY) with a net loss of $6.1M and cash of $10.1M expected to fund operations into Q4 2026.</w:t>
      </w:r>
    </w:p>
    <w:p>
      <w:r>
        <w:rPr>
          <w:rFonts w:ascii="Calibri" w:hAnsi="Calibri"/>
          <w:b/>
          <w:color w:val="6E8450"/>
          <w:sz w:val="18"/>
        </w:rPr>
        <w:t>38 Employees · https://longeveron.com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Longeveron has no approved, commercially launched product and no completed market pivot — it remains a pre-revenue clinical-stage company with TTM revenue of just $1.2M derived from clinical trial fees and contract manufacturing, not product sales [1][2]. AI Deployment (0/2): No evidence of AI deployment or AI-driven strategy was identified in any filings or press releases. Market Share (0/2): With no marketed product, Longeveron holds no differentiated market share in any therapeutic category. Product Pipeline (2/2): The pipeline has genuine specificity — topline Phase 2b (ELPIS II) results for HLHS were expected September 2026 following an FDA Type C meeting, and laromestrocel holds five distinct FDA designations (Orphan Drug, Fast Track, and Rare Pediatric Disease for HLHS; RMAT for Alzheimer's), with the HLHS trial deemed pivotal for BLA filing purposes [1][3]. R&amp;D Intensity (1/1): As a pure clinical-stage biotech with 38 employees, essentially all operating spend (~$20M annual cash burn) is R&amp;D-related, well above any industry benchmark as a percentage of revenue [1][4].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Longeveron's focus — developing cellular therapy for infants with hypoplastic left heart syndrome and for Alzheimer's patients — is specific, thoughtful, and addresses genuine unmet medical needs in the most vulnerable populations (children and the elderly), as founder Joshua Hare has stated [3]. Running three pivotal-stage programs simultaneously at this company size, while pursuing rare pediatric indications rather than commercially larger markets, reflects real intentionality behind the mission. Community &amp; Charitable Impact (0/2): No evidence of charitable or community programs was identified for a company of this size. Employee Retention (0/2): The company implemented 25-50% pay cuts in February 2026 due to cash runway concerns and underwent a CEO transition (interim CEO Than Powell succeeded by new CEO Stephen Willard in February 2026), both signals of organizational instability rather than retention strength [3]. Insider Buying (0/2): No evidence of meaningful net insider buying by executives in the last 12 months; CSO Joshua Hare received RSU grants rather than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~99,287 shares x stock price of $1.39 = ~$138,009 in daily dollar volume, far below the $1,000,000 liquidity floor required for IOWN to trade the stock. Infrastructure score is mechanically set to 0 regardless of other metrics [4]. Underlying financials are also deeply weak: ROE of -203.6% and profit margin near 0% reflect a pre-revenue company (Q2 2026 revenue of just $287K against a $6.1M net loss), market cap is only $4.4M, and the company disclosed substantial doubt about its ability to continue as a going concern with cash of $10.1M expected to fund operations only into Q4 2026 [1][2]. The sole financial bright spot is minimal leverage with D/E of just 5.6%.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Longeveron's underlying mission — treating infants with hypoplastic left heart syndrome and patients with Alzheimer's disease through novel cell therapy — is genuinely service-oriented, and management demonstrated courage by imposing pay cuts to preserve the pivotal HLHS trial rather than shutting down R&amp;D. But a going-concern qualification, 25-50% staff pay cuts, CEO transition in February 2026, and $10.1M cash runway that expires in Q4 2026 reflect an organization in survival mode rather than one demonstrating the stability and trust that mark durable infinite-game players.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Developing stem cell therapy for HLHS infants and Alzheimer's patients reflects a genuine, service-oriented cause addressing serious unmet medical needs — and choosing rare pediatric indications over commercially larger targets demonstrates the cause shaping strategic priorities [1][3]. Founder Joshua Hare's continued involvement as Executive Chairman and Chief Science Officer provides mission continuity through the CEO transition. However, the cause has not been validated by sustained execution — the company has been operating for 12 years without bringing a product to market.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25-50% pay cuts in February 2026, combined with a CEO transition (Than Powell to Stephen Willard, the company's third CEO since founding) and just 38 employees managing a going-concern situation, signal organizational instability rather than psychological safety [3]. Employees are managing severe financial pressure alongside leadership change at the most critical point in the company's clinical development.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management commentary referencing competing cell-therapy developers (such as Mesoblast, Athersys, or Celularity) as sources of self-improvement was identified in available materials.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Longeveron has maintained the same core laromestrocel cell-therapy platform since inception, applying it across multiple indications (HLHS, Alzheimer's, aging frailty, pediatric DCM) rather than pivoting its underlying business model or technology approach. The shift to an asset-light, capital-efficient model is an operational adaptation for survival, not a transformative strategic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chose to impose 25-50% pay cuts across the organization in February 2026 rather than halt the pivotal HLHS and Alzheimer's trials, preserving cash runway to reach the critical ELPIS II data readout — a costly, painful decision made to protect the long-term clinical program over employee compensation [3]. Executive compensation reductions and cost containment demonstrate prioritizing the mission over near-term comfort.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Longeveron at $1.39 with a $4.4M market cap is a clinical-stage biotech advancing laromestrocel (LOMECEL-B) through pivotal trials for HLHS, Alzheimer's, and pediatric DCM, holding five distinct FDA designations including Orphan Drug, Fast Track, and Rare Pediatric Disease [1][3]. The ELPIS II Phase 2b HLHS trial was fully enrolled with topline results expected September 2026, and a positive readout deemed pivotal for BLA filing could represent a transformative binary catalyst at this micro-cap valuation. The Inspire Impact Score of 44 (ALIGNED) reflects a genuinely mission-driven focus on underserved pediatric and elderly patient populations, and the stock trades at 0.42x book value with minimal debt (D/E 5.6%).</w:t>
      </w:r>
    </w:p>
    <w:p>
      <w:pPr>
        <w:spacing w:after="120"/>
      </w:pPr>
      <w:r>
        <w:rPr>
          <w:rFonts w:ascii="Calibri" w:hAnsi="Calibri"/>
          <w:b w:val="0"/>
          <w:color w:val="3A4A28"/>
          <w:sz w:val="20"/>
        </w:rPr>
        <w:t>The bear case is severe and largely disqualifying under IOWN's framework. Average daily dollar volume of ~$138K falls far below the $1,000,000 liquidity floor, automatically zeroing the Infrastructure score and making the position impractical to trade at meaningful scale [4]. The company disclosed substantial doubt about its ability to continue as a going concern, with cash of $10.1M as of June 2026 expected to last only into Q4 2026, after already implementing 25-50% staff pay cuts in February to preserve runway [2][3]. Q2 2026 revenue of just $287K against a $6.1M net loss (up 22% YoY) underscores that Longeveron remains entirely dependent on dilutive financing or a successful trial outcome to survive. The February 2026 CEO transition — the company's third CEO since founding — adds leadership continuity risk at the most critical juncture. With a $4.4M market cap, 38 employees, and negative $20M annual operating cash flow, this is a binary micro-cap biotech that fails IOWN's hard liquidity rule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ELPIS II Phase 2b topline results for laromestrocel in HLHS — expected September 2026, deemed pivotal for BLA filing — represent a near-term binary catalyst at $4.4M market cap that could fundamentally re-rate the stock if positive [1][3]</w:t>
      </w:r>
    </w:p>
    <w:p>
      <w:pPr>
        <w:spacing w:before="40" w:after="40"/>
        <w:ind w:left="283"/>
      </w:pPr>
      <w:r>
        <w:rPr>
          <w:rFonts w:ascii="Calibri" w:hAnsi="Calibri"/>
          <w:b/>
          <w:color w:val="4A6B25"/>
          <w:sz w:val="20"/>
        </w:rPr>
        <w:t xml:space="preserve">2. </w:t>
      </w:r>
      <w:r>
        <w:rPr>
          <w:rFonts w:ascii="Calibri" w:hAnsi="Calibri"/>
          <w:b w:val="0"/>
          <w:color w:val="3A4A28"/>
          <w:sz w:val="20"/>
        </w:rPr>
        <w:t>Five distinct FDA designations (Orphan Drug, Fast Track, Rare Pediatric Disease for HLHS; RMAT for Alzheimer's) could accelerate regulatory review and attract a larger pharma partner or acquirer if trial data reads positively [1]</w:t>
      </w:r>
    </w:p>
    <w:p>
      <w:pPr>
        <w:spacing w:before="40" w:after="40"/>
        <w:ind w:left="283"/>
      </w:pPr>
      <w:r>
        <w:rPr>
          <w:rFonts w:ascii="Calibri" w:hAnsi="Calibri"/>
          <w:b/>
          <w:color w:val="4A6B25"/>
          <w:sz w:val="20"/>
        </w:rPr>
        <w:t xml:space="preserve">3. </w:t>
      </w:r>
      <w:r>
        <w:rPr>
          <w:rFonts w:ascii="Calibri" w:hAnsi="Calibri"/>
          <w:b w:val="0"/>
          <w:color w:val="3A4A28"/>
          <w:sz w:val="20"/>
        </w:rPr>
        <w:t>Trading at 0.42x book value with $10.1M in cash against only $581K in debt, the stock offers significant upside optionality if clinical programs succeed and the company secures non-dilutive financing or partnership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Average daily dollar volume of ~$138K falls far below the $1,000,000 IOWN liquidity floor, triggering Infrastructure score of 0 and making the position impractical to trade at any meaningful scale [4]</w:t>
      </w:r>
    </w:p>
    <w:p>
      <w:pPr>
        <w:spacing w:before="40" w:after="40"/>
        <w:ind w:left="283"/>
      </w:pPr>
      <w:r>
        <w:rPr>
          <w:rFonts w:ascii="Calibri" w:hAnsi="Calibri"/>
          <w:b/>
          <w:color w:val="4A6B25"/>
          <w:sz w:val="20"/>
        </w:rPr>
        <w:t xml:space="preserve">2. </w:t>
      </w:r>
      <w:r>
        <w:rPr>
          <w:rFonts w:ascii="Calibri" w:hAnsi="Calibri"/>
          <w:b w:val="0"/>
          <w:color w:val="3A4A28"/>
          <w:sz w:val="20"/>
        </w:rPr>
        <w:t>Going-concern doubt with cash runway only into Q4 2026 means Longeveron will need additional dilutive financing imminently, regardless of trial outcomes, with $20M annual cash burn against $10.1M cash on hand [2]</w:t>
      </w:r>
    </w:p>
    <w:p>
      <w:pPr>
        <w:spacing w:before="40" w:after="40"/>
        <w:ind w:left="283"/>
      </w:pPr>
      <w:r>
        <w:rPr>
          <w:rFonts w:ascii="Calibri" w:hAnsi="Calibri"/>
          <w:b/>
          <w:color w:val="4A6B25"/>
          <w:sz w:val="20"/>
        </w:rPr>
        <w:t xml:space="preserve">3. </w:t>
      </w:r>
      <w:r>
        <w:rPr>
          <w:rFonts w:ascii="Calibri" w:hAnsi="Calibri"/>
          <w:b w:val="0"/>
          <w:color w:val="3A4A28"/>
          <w:sz w:val="20"/>
        </w:rPr>
        <w:t>As a single-platform clinical-stage biotech with 38 employees, a negative or ambiguous ELPIS II readout could terminate the company's ability to raise capital and continue as a going concern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Longeveron's business is the clinical development and eventual manufacture of a physical cellular therapy product — donor-derived allogeneic mesenchymal stem cells that AI structurally cannot replicate or substitute [4]. AI cannot replace stem cell manufacturing, clinical trial execution, patient enrollment, or FDA regulatory review. No analyst commentary flags AI substitution risk for cell and gene therapy developers; the company's material risks are clinical failure, regulatory rejection, and financial survival rather than AI-driven disruption. AI could potentially accelerate competitor drug discovery timelines, but LGVN's cell therapy platform is in a distinct modality not directly threatened. AI Opportunity (0/1): No quantifiable AI-related revenue or AI-driven drug discovery program was identified in any filing or press release.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Longeveron Q1 2026 Earnings — Revenue $398K (+4.5% YoY), clinical trial revenue +46%, contract manufacturing -84%, pre-revenue stage — SEC Filing, OpenCapital, May 2026</w:t>
      </w:r>
    </w:p>
    <w:p>
      <w:pPr>
        <w:spacing w:before="20" w:after="20"/>
        <w:ind w:left="170"/>
      </w:pPr>
      <w:r>
        <w:rPr>
          <w:rFonts w:ascii="Calibri" w:hAnsi="Calibri"/>
          <w:b/>
          <w:color w:val="4A6B25"/>
          <w:sz w:val="15"/>
        </w:rPr>
        <w:t xml:space="preserve">2. </w:t>
      </w:r>
      <w:r>
        <w:rPr>
          <w:rFonts w:ascii="Calibri" w:hAnsi="Calibri"/>
          <w:b w:val="0"/>
          <w:color w:val="3A4A28"/>
          <w:sz w:val="17"/>
        </w:rPr>
        <w:t>Longeveron Q2 2026 Earnings — Revenue $287K (-9.2% YoY), net loss $6.1M (+22% YoY), cash $10.1M, runway into Q4 2026 — SEC 8-K, Quartr, August 2026</w:t>
      </w:r>
    </w:p>
    <w:p>
      <w:pPr>
        <w:spacing w:before="20" w:after="20"/>
        <w:ind w:left="170"/>
      </w:pPr>
      <w:r>
        <w:rPr>
          <w:rFonts w:ascii="Calibri" w:hAnsi="Calibri"/>
          <w:b/>
          <w:color w:val="4A6B25"/>
          <w:sz w:val="15"/>
        </w:rPr>
        <w:t xml:space="preserve">3. </w:t>
      </w:r>
      <w:r>
        <w:rPr>
          <w:rFonts w:ascii="Calibri" w:hAnsi="Calibri"/>
          <w:b w:val="0"/>
          <w:color w:val="3A4A28"/>
          <w:sz w:val="17"/>
        </w:rPr>
        <w:t>Longeveron Leadership Updates — Stephen Willard appointed CEO February 2026, Joshua Hare as Executive Chairman/CSO, 25-50% pay cuts, cost containment — StreetInsider, Barchart, PharmaLive,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LGVN key statistics, market cap $4.4M, avg volume 99K,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