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LIEN</w:t>
      </w:r>
      <w:r>
        <w:rPr>
          <w:rFonts w:ascii="Calibri" w:hAnsi="Calibri"/>
          <w:b/>
          <w:color w:val="1A2010"/>
          <w:sz w:val="40"/>
        </w:rPr>
        <w:t xml:space="preserve">  Chicago Atlantic BDC, Inc.</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Chicago Atlantic BDC, Inc. (formerly Silver Spike Investment Corp.) is a specialty finance Business Development Company (BDC) focused on providing direct loans and equity financing to privately held cannabis companies. It is the only publicly traded BDC primarily focused on the U.S. cannabis industry, filling a critical financing gap created by federal prohibition that prevents traditional banks from serving cannabis operators. The company secured a $100M senior secured revolving credit facility to fund new cannabis and non-cannabis loan originations. Q1 2026 revenue was $16.7M (+91.6% YoY) with record net investment income of $10M ($0.44/share). CEO Peter Sack also co-manages Chicago Atlantic Real Estate Finance (REFI), and a pending merger between LIEN and REFI is subject to shareholder and regulatory approval. Headquartered in New York.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Chicago Atlantic BDC evolved from a SPAC (Silver Spike Investment Corp.) into a functioning cannabis-focused BDC, growing revenue from virtually zero in 2022 to $60M TTM [1]. Securing a $100M credit facility from institutional lenders validates the business model, but this is standard corporate finance development rather than product innovation or a transformative pivot [2]. AI Deployment (0/2): No evidence of AI-powered products, AI-driven underwriting tools, or quantified AI savings. Cannabis lending remains a relationship-driven, manual underwriting process. Market Share (2/2): Chicago Atlantic BDC is the ONLY publicly traded BDC primarily focused on U.S. cannabis lending, holding a category-defining position in a niche created by federal prohibition that bars traditional banks from serving cannabis operators [2]. This unique positioning gives the company exclusive access to high-yield lending opportunities with limited institutional competition. Product Pipeline (0/2): No next-generation products or services announced. The business model is straightforward direct lending with no evidence of new financial products, technology platforms, or service expansions beyond the core cannabis loan book. R&amp;D Intensity (0/1): BDCs have no R&amp;D function; capital allocation and credit analysis are the core competencies.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Chicago Atlantic BDC fills a genuine access gap — providing capital to cannabis companies that are locked out of traditional banking due to federal prohibition [2]. This connects the company's work to a meaningful purpose of financial inclusion for a legal-at-the-state-level industry, and the mission identifies what the company does and for whom. However, the purpose is primarily commercial — exploiting a regulatory arbitrage for high yields — rather than articulating a deeper vision of a better future or inspiring sacrifice beyond profit. Community Impact (0/2): No evidence of charitable programs, community investment, or foundation activities. The company's cannabis lending could be framed as community economic development, but no specific community impact programs were identified. Employee Retention (0/2): No employee count listed, no Glassdoor data, no retention metrics available. The company appears to operate with a very lean team through its external management structure with Chicago Atlantic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Daily dollar volume of $544,910 ($9.15 x 59,553 avg daily volume) falls below the $1,000,000 minimum threshold, forcing Infrastructure score to 0 regardless of other metrics [1]. For reference, underlying metrics are strong for a BDC: profit margin of 52.8%, D/E of 8.9% (virtually unlevered for a BDC), trailing P/E of 6.58, forward P/E of 5.58, and ROE of 10.5%. Without the liquidity floor, the mechanically calculated infrastructure score would be approximately 9/10. The 14.86% dividend yield with a 97.8% payout ratio is structurally required for BDC tax treatment. Revenue has grown from $10M (FY2023) to $40.5M (FY2025) to $60M TTM as the loan portfolio scaled.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Chicago Atlantic BDC is a purely financial enterprise that exists to capture high yields from a regulatory arbitrage opportunity in cannabis lending. While there is nothing wrong with this as a business strategy, Sinek would see no evidence of infinite game thinking. There is no articulated Just Cause beyond profit maximization, no evidence of courageous leadership choices that sacrifice near-term returns, and the company is too young and too small to have developed the institutional culture that characterizes infinite game players. The pending merger with REFI is a consolidation play, not a purpose-driven strategic decision. The company plays to win the cannabis lending market, not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Chicago Atlantic BDC's purpose — providing capital to cannabis companies locked out of traditional banking — has elements of a genuine cause (financial inclusion for a legal industry), but it is primarily framed as a commercial opportunity rather than a transcendent purpose [2]. The company exists because federal prohibition creates an arbitrage between high borrower demand and low lender supply, resulting in premium yields. This is a business strategy, not a Just Cause in Sinek's framework. No articulated vision of a better future state.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headcount disclosed, no Glassdoor data, no retention or culture information available. The company operates through an external management structure with Chicago Atlantic, which means the organizational trust framework is opaque to outside observers. The externally managed BDC structure inherently creates potential conflicts of interest between the manager and shareholders, which is the opposite of a trust-building organizational design.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As the only publicly traded cannabis-focused BDC, the company has few direct peers, and no management commentary references learning from competitors' strengths or using competition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not faced a strategic inflection point that tested its willingness to transform. Founded in 2021, it has operated in the same cannabis lending niche since inception. The evolution from Silver Spike SPAC to Chicago Atlantic BDC was a structural reorganization, not a business model transformation. The pending merger with REFI is portfolio consolidation, not a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performance for future capability. The business model — lending at high rates to cannabis companies with limited alternatives — is inherently high-yield and does not require courageous choices. The $100M credit facility expansion and pending REFI merger are standard BDC growth strategies, not courageous departures from the easy path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Chicago Atlantic BDC at $9.15 with a 14.86% dividend yield, forward P/E of 5.58, and 52.8% profit margin is the only publicly traded BDC focused on U.S. cannabis lending, occupying a niche that traditional banks cannot enter due to federal prohibition [2]. Q1 2026 revenue surged 91.6% YoY to $16.7M with record net investment income of $0.44/share, driven by growing loan originations as the cannabis industry matures and consolidates [1]. The $100M revolving credit facility provides capacity to scale the loan portfolio, and cannabis rescheduling from Schedule I to Schedule III (recreational rescheduling pending DEA review) is a structural tailwind that could attract more institutional capital to the sector. The pending merger with REFI would create a larger, more liquid entity with a combined cannabis real estate and direct lending platform.</w:t>
      </w:r>
    </w:p>
    <w:p>
      <w:pPr>
        <w:spacing w:after="120"/>
      </w:pPr>
      <w:r>
        <w:rPr>
          <w:rFonts w:ascii="Calibri" w:hAnsi="Calibri"/>
          <w:b w:val="0"/>
          <w:color w:val="3A4A28"/>
          <w:sz w:val="20"/>
        </w:rPr>
        <w:t>The bear case is dominated by the liquidity constraint and regulatory risk. Daily dollar volume of only $545K makes LIEN impractical for institutional positioning — the stock fails IOWN's liquidity floor, and any attempt to build or exit a meaningful position would move the price materially [1]. The 97.8% payout ratio leaves virtually no retained earnings for balance sheet growth, making the company dependent on external capital markets to grow its loan book. Cannabis remains federally illegal under the Controlled Substances Act, and a change in DOJ enforcement posture could impair the entire loan portfolio overnight [3]. The externally managed BDC structure creates inherent conflicts of interest between the Chicago Atlantic management team and LIEN shareholders. EPS declined 29.4% YoY despite revenue growth, suggesting margin compression or portfolio quality issues. The pending REFI merger introduces integration risk and potential shareholder dilution. If cannabis rescheduling stalls or fails, the regulatory arbitrage that drives premium yields could persist but the industry growth that drives portfolio expansion would slow.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Cannabis rescheduling from Schedule I to Schedule III, with recreational rescheduling pending DEA review after July 2026 hearing, would unlock traditional banking access and drive cannabis industry consolidation that increases loan demand [3]</w:t>
      </w:r>
    </w:p>
    <w:p>
      <w:pPr>
        <w:spacing w:before="40" w:after="40"/>
        <w:ind w:left="283"/>
      </w:pPr>
      <w:r>
        <w:rPr>
          <w:rFonts w:ascii="Calibri" w:hAnsi="Calibri"/>
          <w:b/>
          <w:color w:val="4A6B25"/>
          <w:sz w:val="20"/>
        </w:rPr>
        <w:t xml:space="preserve">2. </w:t>
      </w:r>
      <w:r>
        <w:rPr>
          <w:rFonts w:ascii="Calibri" w:hAnsi="Calibri"/>
          <w:b w:val="0"/>
          <w:color w:val="3A4A28"/>
          <w:sz w:val="20"/>
        </w:rPr>
        <w:t>Pending merger with Chicago Atlantic Real Estate Finance (REFI) would create a larger, more liquid combined entity with diversified cannabis lending and real estate exposure, potentially resolving LIEN's liquidity constraint</w:t>
      </w:r>
    </w:p>
    <w:p>
      <w:pPr>
        <w:spacing w:before="40" w:after="40"/>
        <w:ind w:left="283"/>
      </w:pPr>
      <w:r>
        <w:rPr>
          <w:rFonts w:ascii="Calibri" w:hAnsi="Calibri"/>
          <w:b/>
          <w:color w:val="4A6B25"/>
          <w:sz w:val="20"/>
        </w:rPr>
        <w:t xml:space="preserve">3. </w:t>
      </w:r>
      <w:r>
        <w:rPr>
          <w:rFonts w:ascii="Calibri" w:hAnsi="Calibri"/>
          <w:b w:val="0"/>
          <w:color w:val="3A4A28"/>
          <w:sz w:val="20"/>
        </w:rPr>
        <w:t>Q1 2026 revenue growth of 91.6% YoY with record net investment income signals accelerating loan portfolio growth as cannabis industry matures and operators require more sophisticated financing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$545K fails IOWN's $1M liquidity floor — the stock is too illiquid for institutional positioning, making it impractical to build or exit positions without significant market impact</w:t>
      </w:r>
    </w:p>
    <w:p>
      <w:pPr>
        <w:spacing w:before="40" w:after="40"/>
        <w:ind w:left="283"/>
      </w:pPr>
      <w:r>
        <w:rPr>
          <w:rFonts w:ascii="Calibri" w:hAnsi="Calibri"/>
          <w:b/>
          <w:color w:val="4A6B25"/>
          <w:sz w:val="20"/>
        </w:rPr>
        <w:t xml:space="preserve">2. </w:t>
      </w:r>
      <w:r>
        <w:rPr>
          <w:rFonts w:ascii="Calibri" w:hAnsi="Calibri"/>
          <w:b w:val="0"/>
          <w:color w:val="3A4A28"/>
          <w:sz w:val="20"/>
        </w:rPr>
        <w:t>Federal cannabis prohibition remains the existential risk — a shift in DOJ enforcement posture or failure of rescheduling could impair the entire loan portfolio, and all portfolio companies operate in a legally gray zone under the Controlled Substances Act [3]</w:t>
      </w:r>
    </w:p>
    <w:p>
      <w:pPr>
        <w:spacing w:before="40" w:after="40"/>
        <w:ind w:left="283"/>
      </w:pPr>
      <w:r>
        <w:rPr>
          <w:rFonts w:ascii="Calibri" w:hAnsi="Calibri"/>
          <w:b/>
          <w:color w:val="4A6B25"/>
          <w:sz w:val="20"/>
        </w:rPr>
        <w:t xml:space="preserve">3. </w:t>
      </w:r>
      <w:r>
        <w:rPr>
          <w:rFonts w:ascii="Calibri" w:hAnsi="Calibri"/>
          <w:b w:val="0"/>
          <w:color w:val="3A4A28"/>
          <w:sz w:val="20"/>
        </w:rPr>
        <w:t>97.8% payout ratio with -29.4% EPS decline YoY leaves no retained earnings buffer — the BDC is entirely dependent on external capital markets for balance sheet growth, and any disruption to capital access would halt loan originations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Chicago Atlantic BDC's cannabis lending business has meaningful defensive moats against AI disruption [2]. Cannabis lending is a relationship-driven, regulatory-intensive niche where borrower access requires deep industry knowledge, compliance expertise across state-by-state regulatory frameworks, and trusted relationships with operators who have limited financing alternatives. AI could potentially automate credit analysis and portfolio monitoring, but the regulated, relationship-dependent nature of the business — combined with the federal prohibition that keeps traditional lenders out — creates structural barriers that AI tools alone cannot bridge. However, AI-powered credit platforms could eventually lower barriers to entry, allowing new lenders to underwrite cannabis loans more efficiently and compete with Chicago Atlantic's niche advantage. AI Opportunity (0/1): No evidence of AI-powered products, AI-driven underwriting tools, or AI-related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Chicago Atlantic BDC Q1 2026 Results — Revenue $16.7M (+91.6% YoY), Record NII $10M ($0.44/share), Q2 2026 Revenue Estimate $16.1M — OpenCapital, Benzinga, MarketBeat, May-August 2026</w:t>
      </w:r>
    </w:p>
    <w:p>
      <w:pPr>
        <w:spacing w:before="20" w:after="20"/>
        <w:ind w:left="170"/>
      </w:pPr>
      <w:r>
        <w:rPr>
          <w:rFonts w:ascii="Calibri" w:hAnsi="Calibri"/>
          <w:b/>
          <w:color w:val="4A6B25"/>
          <w:sz w:val="15"/>
        </w:rPr>
        <w:t xml:space="preserve">2. </w:t>
      </w:r>
      <w:r>
        <w:rPr>
          <w:rFonts w:ascii="Calibri" w:hAnsi="Calibri"/>
          <w:b w:val="0"/>
          <w:color w:val="3A4A28"/>
          <w:sz w:val="17"/>
        </w:rPr>
        <w:t>Chicago Atlantic BDC Corporate Overview — Only Publicly Traded Cannabis-Focused BDC, $100M Credit Facility, CEO Peter Sack, Pending REFI Merger — MJBizDaily, Barchart, Benzinga, 2024-2026</w:t>
      </w:r>
    </w:p>
    <w:p>
      <w:pPr>
        <w:spacing w:before="20" w:after="20"/>
        <w:ind w:left="170"/>
      </w:pPr>
      <w:r>
        <w:rPr>
          <w:rFonts w:ascii="Calibri" w:hAnsi="Calibri"/>
          <w:b/>
          <w:color w:val="4A6B25"/>
          <w:sz w:val="15"/>
        </w:rPr>
        <w:t xml:space="preserve">3. </w:t>
      </w:r>
      <w:r>
        <w:rPr>
          <w:rFonts w:ascii="Calibri" w:hAnsi="Calibri"/>
          <w:b w:val="0"/>
          <w:color w:val="3A4A28"/>
          <w:sz w:val="17"/>
        </w:rPr>
        <w:t>Chicago Atlantic BDC Regulatory Environment — Cannabis Rescheduling (Schedule I to III), DOJ Enforcement Risk, DEA Recreational Rescheduling Hearing July 2026 — SEC 10-K/10-Q Filings,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