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LILA</w:t>
      </w:r>
      <w:r>
        <w:rPr>
          <w:rFonts w:ascii="Calibri" w:hAnsi="Calibri"/>
          <w:b/>
          <w:color w:val="1A2010"/>
          <w:sz w:val="40"/>
        </w:rPr>
        <w:t xml:space="preserve">  Liberty Latin America Ltd.</w:t>
      </w:r>
    </w:p>
    <w:p>
      <w:pPr>
        <w:spacing w:after="120"/>
      </w:pPr>
      <w:r>
        <w:rPr>
          <w:rFonts w:ascii="Calibri" w:hAnsi="Calibri"/>
          <w:b/>
          <w:color w:val="6E8450"/>
          <w:sz w:val="18"/>
        </w:rPr>
        <w:t>GROWTH SLEEVE · 2026-10-14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Telecom Services · NASDAQ · Bermuda</w:t>
      </w:r>
    </w:p>
    <w:p>
      <w:pPr>
        <w:spacing w:after="80"/>
      </w:pPr>
      <w:r>
        <w:rPr>
          <w:rFonts w:ascii="Calibri" w:hAnsi="Calibri"/>
          <w:b w:val="0"/>
          <w:color w:val="3A4A28"/>
          <w:sz w:val="20"/>
        </w:rPr>
        <w:t>Liberty Latin America Ltd. provides fixed, mobile, and subsea telecommunications services across Latin America and the Caribbean, including Puerto Rico, Panama, Costa Rica, Jamaica, the Bahamas, and Chile. The company operates through C&amp;W Caribbean, C&amp;W Panama, Liberty Networks, Liberty Puerto Rico, and Liberty Costa Rica segments under the Flow, +movil, Liberty, and BTC brands. Q2 2026 total revenue grew 1% YoY on a reported basis, with Liberty Networks up 14% driven by the El Salvador subsea fiber project. Adjusted OIBDA was $436M (+3% rebased growth) with 45,000 postpaid and broadband net adds. Market cap is approximately $1.63B.</w:t>
      </w:r>
    </w:p>
    <w:p>
      <w:r>
        <w:rPr>
          <w:rFonts w:ascii="Calibri" w:hAnsi="Calibri"/>
          <w:b/>
          <w:color w:val="6E8450"/>
          <w:sz w:val="18"/>
        </w:rPr>
        <w:t>9,000 Employees · https://www.lla.com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LLA has executed incremental network upgrades including FTTH expansion, mobile network modernization, and subsea cable infrastructure investment across Caribbean and Latin American markets, but no transformative product launches or business model pivots — revenue has been flat to declining from $4.81B (2022) to $4.46B (LTM) [1]. AI Deployment (2/2): LLA announced an AI-driven IT services deal with Amdocs expected to deliver over $250 million in NPV through OpEx and CapEx reductions — a specific, quantified AI deployment with measurable financial impact [2]. The company has also deployed AI for call center optimization with text-to-speech engines and established a formal AI governance framework. CEO Nair highlighted the Amdocs AI partnership as a key strategic initiative in the Q2 2026 earnings call [2]. Market Share (0/2): LLA operates as a multi-market Caribbean and Latin American telecom without dominant market position — it competes against local incumbents in each geography with no evidence of material share gains [1]. Pipeline (1/2): The company is investing in FTTH rollout, 5G deployment, and subsea cable capacity, with AI transformation through Amdocs providing operational improvement visibility [2]. However, specific next-generation product launch dates with revenue expectations are not provided. R&amp;D Intensity (0/1): Telecom operators have inherently low R&amp;D intensity relative to technology companies.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LLA's culture emphasizes being 'courageous in our innovation, authentic in our actions and transparent in our decisions' [3]. The company's purpose of connecting communities across Latin America and the Caribbean with digital infrastructure is clear and identifies what the company does and for whom. However, it is not distinctive — any regional telecom could claim the same mission. Community Impact (1/2): LLA publishes ESG reports and supports significant community programs — during 2023, the company supported 800,000+ students through education initiatives, connected 4,000+ households through the JUMP program, and donated $7.7M+ in cash and in-kind through Foundation initiatives [4]. These are specific programs with measurable data, though the scale is modest relative to $4.4B revenue. Employee Retention (0/2): No specific retention data or turnover statistics available. CEO Balan Nair has led the company since 2017 (~9 years) with CTO Aamir Hussain hired from Verizon in 2022, showing leadership stability. Approximately 9,000 employees across multiple Caribbean and Latin American markets [3]. Insider Buying (0/2): Insider ownership is 21.15%, reflecting the Liberty/Malone family's structural stake. However, no evidence of meaningful net insider buying by executives in the last 12 months — recent transactions show a mix of stock awards and sales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extreme leverage and negative profitability driving the score near the bottom. D/E of 905.5% scores at floor (0.0) — one of the most leveraged companies in the telecom sector [5]. ROE of -3.7% scores 0.0 at 2x growth weight, reflecting continued LTM net losses though substantially improved from -34.9% earlier in 2026 [5]. Revenue growth YoY improved to 1.5% (score 0.72), with Q2 2026 total revenue up 1% reported and Liberty Networks up 14% [1]. Revenue 5yr CAGR of approximately -2% scores 0.20 at 2x weight, reflecting secular decline from $4.81B (2022) to current levels. Profit margin of -2.2% scores 0.0, though trending toward breakeven as the Amdocs AI deal drives OpEx reductions [2]. Forward P/E of 12.8 is the lone strength, scoring 1.0 as the market prices in a modest recovery. Forward PEG unavailable (excluded). Weighted sum 2.12 on 8 available weight units yields score of 3. Liquidity floor cleared: 447K avg volume × $8.30 = $3.71M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Liberty Latin America shows some long-term orientation through CEO Balan Nair's 19-year tenure within Liberty companies, sustained network infrastructure investment despite massive leverage, and community programs reaching 800,000+ students. However, the company lacks a distinctive Just Cause beyond connecting Caribbean and Latin American markets, flat-to-declining revenue over multiple years suggests strategic drift rather than bold vision, and the extreme leverage ($8.99B debt) inherited from the Liberty Global spinoff constrains strategic flexibility. Sinek would see a company treading water operationally while the financial structure limits long-term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LLA's purpose — connecting communities across Latin America and the Caribbean with communications infrastructure — is genuine but shallow [3]. It describes what the company does rather than articulating a future state worth sacrificing for. The company culture of being 'courageous in innovation, authentic in actions, transparent in decisions' adds intentionality but hasn't translated into a distinctive cause that shapes strategic decisions. The company exists primarily as a Liberty Global spinoff to capture Caribbean telecom value, not to advance a transformative vision.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Balan Nair has been with the Liberty family since 2007 and leads a stable executive team including CTO Aamir Hussain (hired from Verizon in 2022) and SVP Ray Collins leading infrastructure strategy [3]. The company operates across multiple geographies with 9,000 employees and emphasizes a culture of innovation and transparency. However, no specific retention metrics, tenure data, or employee satisfaction evidence is available to confirm exceptional trust levels.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LLA's competitive language and strategy focus on defending market positions across its Caribbean and Latin American geographies rather than learning from competitors. Management discussion emphasizes operational execution, subscriber growth, and network investment rather than acknowledging competitors' strengths or using competitive dynamics for self-improvement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LLA has made incremental strategic adaptations including FTTH network buildouts, mobile network modernization, and the Amdocs AI partnership for IT transformation [2]. SVP Ray Collins has stated that the rate of technological change over the next five years will surpass the last decade, with AI, IoT, and 5G driving evolution. However, no transformative pivot has occurred — the company remains fundamentally the same Caribbean/Latin American telecom it was at its 2018 spinoff from Liberty Global.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LLA continued investing in network infrastructure (FTTH, 5G, subsea cables) and signed a transformative $250M NPV AI deal with Amdocs despite carrying $8.99B in debt and negative profitability [2][5]. The $500M preferred stock distribution in H1 2026 demonstrated confidence in the business trajectory. However, the heavy leverage was largely inherited from the Liberty Global structure rather than a deliberate courageous bet, and there is no clear example of leadership sacrificing earnings for a principled long-term position.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Liberty Latin America offers deep value exposure to Caribbean and Latin American telecom infrastructure — the stock rallied 70% from $4.80 to $8.17 since June 2026 as operational improvements gained traction. Q2 2026 Adjusted OIBDA of $436M (+3% rebased growth) and 45,000 postpaid/broadband net adds demonstrate improving subscriber momentum [2]. The transformative Amdocs AI deal worth $250M+ NPV in OpEx/CapEx reductions should accelerate the path to GAAP profitability as profit margin has already improved from -11.2% to -2.2% [5]. The Liberty Networks subsea cable network connecting 30+ markets provides a physical infrastructure moat, and adjusted free cash flow before distributions improved $164M YoH in H1 2026 [2]. FCF of $415M ($2.12/share) against an $8.17 stock price implies a compelling P/FCF of 3.86x. Insider ownership of 21.15% (Liberty/Malone family) provides alignment. Analysts have a $11.07 price target (+35.5% upside) with a Buy consensus [5].</w:t>
      </w:r>
    </w:p>
    <w:p>
      <w:pPr>
        <w:spacing w:after="120"/>
      </w:pPr>
      <w:r>
        <w:rPr>
          <w:rFonts w:ascii="Calibri" w:hAnsi="Calibri"/>
          <w:b w:val="0"/>
          <w:color w:val="3A4A28"/>
          <w:sz w:val="20"/>
        </w:rPr>
        <w:t>The bear case is dominated by extreme leverage — $8.99B in debt against a $1.60B market cap produces D/E of 906% and an Altman Z-Score of 0.06 (indicating significant bankruptcy risk) [5]. Revenue has been flat to declining from $4.81B (2022) to $4.46B (LTM), with Q2 2026 revenue of $1,102.6M missing estimates by $14.7M and EPS of -$0.13 missing by $0.12 [2]. The company guides only ~2.3% average annual revenue growth over the next three years, below the global telecom industry average. Hurricane exposure in Caribbean markets creates unpredictable revenue disruptions. The stock's 70% rally may have priced in near-term improvement, and any setback in the Amdocs AI deal or revenue trajectory could reverse gains quickly given the speculative nature of the capital structure. The Inspire Impact Score of -62 (MISALIGNED) with a 'Sexually Explicit' negative attribution conflicts with values-based investment mandates. At the current debt load, even modest interest rate increases or revenue shortfalls could force restructuring.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Amdocs AI-driven IT services deal worth $250M+ NPV in OpEx and CapEx reductions represents a transformative cost structure improvement that should accelerate the path from -2.2% profit margin toward breakeven and profitability [2]</w:t>
      </w:r>
    </w:p>
    <w:p>
      <w:pPr>
        <w:spacing w:before="40" w:after="40"/>
        <w:ind w:left="283"/>
      </w:pPr>
      <w:r>
        <w:rPr>
          <w:rFonts w:ascii="Calibri" w:hAnsi="Calibri"/>
          <w:b/>
          <w:color w:val="4A6B25"/>
          <w:sz w:val="20"/>
        </w:rPr>
        <w:t xml:space="preserve">2. </w:t>
      </w:r>
      <w:r>
        <w:rPr>
          <w:rFonts w:ascii="Calibri" w:hAnsi="Calibri"/>
          <w:b w:val="0"/>
          <w:color w:val="3A4A28"/>
          <w:sz w:val="20"/>
        </w:rPr>
        <w:t>Adjusted free cash flow before distributions improved $164M in H1 2026 vs H1 2025, demonstrating rapid deleveraging capability on $8.99B debt if operational trends continue — P/FCF of 3.86x reflects significant free cash generation relative to equity value [2][5]</w:t>
      </w:r>
    </w:p>
    <w:p>
      <w:pPr>
        <w:spacing w:before="40" w:after="40"/>
        <w:ind w:left="283"/>
      </w:pPr>
      <w:r>
        <w:rPr>
          <w:rFonts w:ascii="Calibri" w:hAnsi="Calibri"/>
          <w:b/>
          <w:color w:val="4A6B25"/>
          <w:sz w:val="20"/>
        </w:rPr>
        <w:t xml:space="preserve">3. </w:t>
      </w:r>
      <w:r>
        <w:rPr>
          <w:rFonts w:ascii="Calibri" w:hAnsi="Calibri"/>
          <w:b w:val="0"/>
          <w:color w:val="3A4A28"/>
          <w:sz w:val="20"/>
        </w:rPr>
        <w:t>Subscriber momentum with 45,000 postpaid and broadband net adds in Q2, including recovery in Jamaica and stronger additions across the group, suggests revenue stabilization potential after years of decline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leverage at 906% D/E with $8.99B total debt and Altman Z-Score of 0.06 creates existential risk — any revenue downturn, interest rate increase, or failure of the Amdocs AI cost reductions could force restructuring or dilutive capital raises [5]</w:t>
      </w:r>
    </w:p>
    <w:p>
      <w:pPr>
        <w:spacing w:before="40" w:after="40"/>
        <w:ind w:left="283"/>
      </w:pPr>
      <w:r>
        <w:rPr>
          <w:rFonts w:ascii="Calibri" w:hAnsi="Calibri"/>
          <w:b/>
          <w:color w:val="4A6B25"/>
          <w:sz w:val="20"/>
        </w:rPr>
        <w:t xml:space="preserve">2. </w:t>
      </w:r>
      <w:r>
        <w:rPr>
          <w:rFonts w:ascii="Calibri" w:hAnsi="Calibri"/>
          <w:b w:val="0"/>
          <w:color w:val="3A4A28"/>
          <w:sz w:val="20"/>
        </w:rPr>
        <w:t>Revenue has declined from $4.81B (2022) to $4.46B (LTM) with Q2 2026 missing estimates by $14.7M — the company forecasts only ~2.3% average annual revenue growth, well below the telecom industry average, indicating structural headwinds in Caribbean and Latin American markets [1][5]</w:t>
      </w:r>
    </w:p>
    <w:p>
      <w:pPr>
        <w:spacing w:before="40" w:after="40"/>
        <w:ind w:left="283"/>
      </w:pPr>
      <w:r>
        <w:rPr>
          <w:rFonts w:ascii="Calibri" w:hAnsi="Calibri"/>
          <w:b/>
          <w:color w:val="4A6B25"/>
          <w:sz w:val="20"/>
        </w:rPr>
        <w:t xml:space="preserve">3. </w:t>
      </w:r>
      <w:r>
        <w:rPr>
          <w:rFonts w:ascii="Calibri" w:hAnsi="Calibri"/>
          <w:b w:val="0"/>
          <w:color w:val="3A4A28"/>
          <w:sz w:val="20"/>
        </w:rPr>
        <w:t>Inspire Impact Score of -62 (MISALIGNED) with 'Sexually Explicit' negative attribution conflicts with faith-based and values-oriented investment mandates, potentially limiting the investable universe for this stock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Telecom infrastructure is fundamentally physical — fiber optic networks, cell towers, submarine cables, and last-mile connections cannot be replicated by software AI [1]. LLA's subsea cable network connecting approximately 30 Caribbean and Latin American markets through Liberty Networks represents a physical moat that AI cannot displace. However, portions of the business face AI exposure: customer service operations are being automated (the Amdocs AI deal explicitly targets call center OpEx), and content aggregation/video services face substitution risk from AI-curated alternatives. Regulatory requirements and spectrum licenses provide additional protection. AI Opportunity (1/1): The Amdocs AI-driven IT services deal announced in Q2 2026 is expected to deliver over $250 million in NPV through OpEx and CapEx reductions — a specific, quantified AI deployment with material financial impact [2]. The company has also deployed AI for call center optimization and established a formal AI governance framework, representing meaningful operational AI adoption beyond exploration.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Sexually Explicit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Liberty Latin America Q4 and FY2025 Earnings Release — $4.44B revenue, flat growth, 9% rebased OIBDA growth in Q4 2025, February 2026</w:t>
      </w:r>
    </w:p>
    <w:p>
      <w:pPr>
        <w:spacing w:before="20" w:after="20"/>
        <w:ind w:left="170"/>
      </w:pPr>
      <w:r>
        <w:rPr>
          <w:rFonts w:ascii="Calibri" w:hAnsi="Calibri"/>
          <w:b/>
          <w:color w:val="4A6B25"/>
          <w:sz w:val="15"/>
        </w:rPr>
        <w:t xml:space="preserve">2. </w:t>
      </w:r>
      <w:r>
        <w:rPr>
          <w:rFonts w:ascii="Calibri" w:hAnsi="Calibri"/>
          <w:b w:val="0"/>
          <w:color w:val="3A4A28"/>
          <w:sz w:val="17"/>
        </w:rPr>
        <w:t>Liberty Latin America Q2 2026 Earnings Release — Revenue $1,102.6M, Adjusted OIBDA $436M (+3% rebased), 45K Postpaid/Broadband Net Adds, $250M NPV Amdocs AI Deal, $500M Preferred Distribution, H1 FCF +$164M YoY, August 2026</w:t>
      </w:r>
    </w:p>
    <w:p>
      <w:pPr>
        <w:spacing w:before="20" w:after="20"/>
        <w:ind w:left="170"/>
      </w:pPr>
      <w:r>
        <w:rPr>
          <w:rFonts w:ascii="Calibri" w:hAnsi="Calibri"/>
          <w:b/>
          <w:color w:val="4A6B25"/>
          <w:sz w:val="15"/>
        </w:rPr>
        <w:t xml:space="preserve">3. </w:t>
      </w:r>
      <w:r>
        <w:rPr>
          <w:rFonts w:ascii="Calibri" w:hAnsi="Calibri"/>
          <w:b w:val="0"/>
          <w:color w:val="3A4A28"/>
          <w:sz w:val="17"/>
        </w:rPr>
        <w:t>Liberty Latin America Our Culture and Executive Team — CEO Balan Nair since 2017, CTO Aamir Hussain, culture values, SVP Ray Collins AI/technology commentary, lla.com,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Liberty Latin America ESG Reports and Community Impact — 800K+ students supported, JUMP program 4K+ households, $7.7M+ donations, Liberty Foundation, 2021-2024</w:t>
      </w:r>
    </w:p>
    <w:p>
      <w:pPr>
        <w:spacing w:before="20" w:after="20"/>
        <w:ind w:left="170"/>
      </w:pPr>
      <w:r>
        <w:rPr>
          <w:rFonts w:ascii="Calibri" w:hAnsi="Calibri"/>
          <w:b/>
          <w:color w:val="4A6B25"/>
          <w:sz w:val="15"/>
        </w:rPr>
        <w:t xml:space="preserve">5. </w:t>
      </w:r>
      <w:r>
        <w:rPr>
          <w:rFonts w:ascii="Calibri" w:hAnsi="Calibri"/>
          <w:b w:val="0"/>
          <w:color w:val="3A4A28"/>
          <w:sz w:val="17"/>
        </w:rPr>
        <w:t>StockAnalysis — LILA Key Statistics: Stock Price $8.17, D/E 9.06, ROE -3.72%, Profit Margin -2.20%, Market Cap $1.60B, FCF $415M, Insider Ownership 21.15%, Altman Z-Score 0.06, Analyst Target $11.07,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