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LMND</w:t>
      </w:r>
      <w:r>
        <w:rPr>
          <w:rFonts w:ascii="Calibri" w:hAnsi="Calibri"/>
          <w:b/>
          <w:color w:val="1A2010"/>
          <w:sz w:val="40"/>
        </w:rPr>
        <w:t xml:space="preserve">  Lemonade, Inc.</w:t>
      </w:r>
    </w:p>
    <w:p>
      <w:pPr>
        <w:spacing w:after="120"/>
      </w:pPr>
      <w:r>
        <w:rPr>
          <w:rFonts w:ascii="Calibri" w:hAnsi="Calibri"/>
          <w:b/>
          <w:color w:val="6E8450"/>
          <w:sz w:val="18"/>
        </w:rPr>
        <w:t>GROWTH SLEEVE · 2026-09-07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Insurance—Property &amp; Casualty · NYSE · United States</w:t>
      </w:r>
    </w:p>
    <w:p>
      <w:pPr>
        <w:spacing w:after="80"/>
      </w:pPr>
      <w:r>
        <w:rPr>
          <w:rFonts w:ascii="Calibri" w:hAnsi="Calibri"/>
          <w:b w:val="0"/>
          <w:color w:val="3A4A28"/>
          <w:sz w:val="20"/>
        </w:rPr>
        <w:t>Lemonade, Inc. is an AI-native insurance company offering renters, homeowners, pet, car, and life insurance products in the US and Europe. Incorporated as a Public Benefit Corporation and certified B Corp (score 84.2), Lemonade uses artificial intelligence and behavioral economics to process claims, underwrite policies, and deliver a digital-first customer experience. The company's Giveback program donates unclaimed premiums to nonprofits chosen by policyholders. Q2 2026 revenue surged 79% YoY to $294M with in-force premium reaching $1.43B. Adjusted free cash flow has been positive for 5 consecutive quarters. CEO Daniel Schreiber co-founded the company in 2015.</w:t>
      </w:r>
    </w:p>
    <w:p>
      <w:r>
        <w:rPr>
          <w:rFonts w:ascii="Calibri" w:hAnsi="Calibri"/>
          <w:b/>
          <w:color w:val="6E8450"/>
          <w:sz w:val="18"/>
        </w:rPr>
        <w:t>1,300 Employees · https://www.lemonade.com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Lemonade has executed multiple successful product launches — expanding from renters-only insurance at IPO (2020) into homeowners, pet, car, life insurance, and EU markets, each opening meaningful new revenue streams on the same AI platform [1][3]. The Metromile acquisition added telematics capability. Revenue has grown from $94M (FY2020) to $844M TTM — a 9x expansion in 6 years. Q2 2026 delivered $294M revenue (+79% YoY), demonstrating the AI platform scales across product lines [5]. AI Deployment (2/2): AI IS the business — AI Jim processes claims in seconds (best-ever LAE ratio of 5% vs 9% industry average in Q2 2026), AI Maya handles customer onboarding, and algorithmic underwriting drives the entire operation [5]. CEO Schreiber asserts 'most insurance companies will fail the AI test' and positions Lemonade's AI-native architecture as a structural competitive advantage [2]. Market Share (1/2): In-force premium reached $1.43B with 32.5% YoY growth and 11 consecutive quarters of acceleration, but Lemonade remains a small share of the $1.3T US P&amp;C insurance market [5]. Product Pipeline (1/2): Hannover Re New Business Financing Agreement provides up to $250M for sales and marketing growth ($150M cap for 2027, $250M for 2028), European multi-country regulatory platform enables faster launches, and management guides 65% full-year revenue growth [5]. R&amp;D Intensity (1/1): As an AI-first insurer, technology investment is the core of the business model, with R&amp;D spend significantly above traditional insurance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Lemonade's purpose — transforming insurance from a necessary evil into a social good through AI, transparency, and the Giveback program — is specific, distinctive, and shapes strategic decisions [3]. The Public Benefit Corporation structure and B Corp certification (score 84.2, significantly above median) legally bind the company to pursue social impact alongside financial returns. CEO Schreiber has articulated this consistently since 2015. However, the company is only 11 years old and has not yet been tested through a prolonged market downturn or leadership transition that would validate the cause at Sinek's highest standard. Community Impact (2/2): The Giveback program has channeled over $8M to 108+ nonprofit partners globally, with policyholders selecting the charities their unused premiums support — a structural philanthropic model unique in insurance [3]. B Corp certification with score of 84.2 provides external accountability through recurring assessment. Employee Retention (1/2): Glassdoor shows 3.5/5 overall with 58-60% recommending and 76% CEO approval — average for a high-growth tech company, with praise for mission-driven culture but criticism of leadership inconsistency [4]. Insider Buying (0/2): No evidence of meaningful net insider buying by CEO Schreiber or other executives in the review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Lemonade's balance sheet is clean with D/E of 39%, well below the 70% target [6]. Revenue growth is exceptional — 79% YoY in Q2 2026 ($294M vs $164M), and 5-year revenue CAGR of approximately 49% scores maximum at 2x weight [5]. However, the company remains unprofitable: ROE of -26.1% floors at 0 (2x weight), and profit margin of -14.2% floors at 0 [6]. Net loss narrowed to $43M in Q2 2026 from $55M prior year (excluding tax benefit), with adjusted EBITDA loss improving to -$19M from -$41M [5]. Adjusted free cash flow has been positive for 5 consecutive quarters at $19M in Q2. Management targets Q4 2026 EBITDA breakeven and 2027 GAAP profitability. Forward P/E and PEG are excluded as not meaningful for an unprofitable company. Liquidity: $55.12 x 3.2M avg volume = $176M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Lemonade demonstrates genuine infinite-game qualities through its Public Benefit Corporation structure, B Corp certification, and Giveback program — structural commitments to purpose beyond profit that most companies never make. Co-founder Daniel Schreiber has maintained a consistent vision of transforming insurance as a social good since 2015, and his 'conductor' leadership style emphasizes trust and expertise. However, the company is only 11 years old, has not been tested through a major crisis, and its finite-game pressures — burning cash, needing to reach profitability, and competing against giants — create tension with the infinite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Lemonade's cause — using technology to make insurance transparent, instant, and socially beneficial — is genuine and distinctive, embodied in the Public Benefit Corporation structure and Giveback program [3]. Strategic decisions (entering car insurance despite capital intensity, maintaining Giveback while unprofitable, structuring as a PBC at IPO) trace back to this purpose. However, the cause has not been validated by decades of execution — Lemonade was founded in 2015 and has yet to face a prolonged downturn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Schreiber describes himself as a 'conductor' who trusts experts and doesn't micromanage — a leadership philosophy consistent with Sinek's trust-building framework [2]. Glassdoor shows a generally positive but imperfect culture — employees praise the mission-driven environment and collaboration, but cite leadership inconsistencies and limited career advancement [4]. At ~1,300 employees, the company is small enough for culture to be felt but large enough for variation.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Schreiber explicitly frames traditional insurers' strengths — massive customer bases, actuarial data, regulatory experience — as motivation to improve Lemonade's AI capabilities [2]. He acknowledges that 'many companies will fail the AI test' while respecting the scale and data advantages incumbents hold, framing competition as a challenge that validates the AI-native approach rather than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Lemonade has expanded from renters-only to homeowners, pet, car, life insurance, and EU markets — significant product and geographic expansion on the same AI platform [1]. The Metromile acquisition and car insurance entry required different underwriting models. The Hannover Re $250M financing agreement demonstrates willingness to evolve the capital structure for growth [5]. However, these are adjacent market expansions rather than transformative pivots — the company remains an AI-powered insurer.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Structuring as a Public Benefit Corporation at IPO limited shareholder primacy — a courageous choice. Maintaining the Giveback program through years of $100M+ annual losses demonstrates commitment to purpose over short-term optimization [3]. Entering car insurance in 2022 despite knowing it would increase loss ratios and capital needs was a calculated long-term bet. The Hannover Re $250M deal securing multi-year growth capital shows strategic long-term planning [5]. However, these bets were enabled by capital market access rather than requiring sacrifice of existing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Lemonade delivered a breakout Q2 2026 with revenue surging 79% YoY to a record $294M, gross profit up 76% to $113M, and in-force premium reaching $1.43B with 32.5% growth — the 11th consecutive quarter of accelerating growth [5]. The AI-native model's superiority is quantifiable: LAE ratio of 5% is nearly half the 9% industry average, demonstrating structural cost advantages that improve with scale. Adjusted EBITDA loss narrowed to -$19M from -$41M, and adjusted free cash flow has been positive for 5 consecutive quarters at $19M [5]. The Hannover Re New Business Financing Agreement provides up to $250M in growth capital, and management guided for 65% full-year revenue growth with positive adjusted EBITDA in Q4 2026. At $55.12 per share ($3.95B market cap / ~4.7x TTM revenue), the stock has de-risked materially from its $71.82 level pre-Q2 earnings.</w:t>
      </w:r>
    </w:p>
    <w:p>
      <w:pPr>
        <w:spacing w:after="120"/>
      </w:pPr>
      <w:r>
        <w:rPr>
          <w:rFonts w:ascii="Calibri" w:hAnsi="Calibri"/>
          <w:b w:val="0"/>
          <w:color w:val="3A4A28"/>
          <w:sz w:val="20"/>
        </w:rPr>
        <w:t>The bear case centers on sustained unprofitability at premium valuation. Despite 79% revenue growth, Lemonade posted a $43M net loss ($0.56/share) in Q2 2026, and the stock dropped 15% post-earnings despite beating revenue estimates [5]. The path to GAAP profitability depends on continued loss ratio improvement and operating leverage not yet proven at scale [6]. At ~4.7x TTM revenue, the market still prices in aggressive profitability assumptions. The reinsurance transition has inflated reported revenue growth — underlying in-force premium growth of 32.5% is strong but lower than the 79% revenue headline. Traditional insurance giants are deploying AI capabilities (Progressive's AI claims, Allstate's digital transformation, State Farm's AI underwriting) that could narrow Lemonade's technology moat over time, and these incumbents hold far larger data sets from tens of millions of customers. The 2021 AI bias controversy (analyzing non-verbal cues in claims videos) created a reputational overhang, and catastrophe exposure concentration increases as Lemonade retains more premium post-reinsurance transition.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EBITDA profitability in Q4 2026 and GAAP profitability in 2027 would mark a fundamental inflection — rerating from speculative insurtech to profitable AI-native insurer with 65%+ revenue growth [5]</w:t>
      </w:r>
    </w:p>
    <w:p>
      <w:pPr>
        <w:spacing w:before="40" w:after="40"/>
        <w:ind w:left="283"/>
      </w:pPr>
      <w:r>
        <w:rPr>
          <w:rFonts w:ascii="Calibri" w:hAnsi="Calibri"/>
          <w:b/>
          <w:color w:val="4A6B25"/>
          <w:sz w:val="20"/>
        </w:rPr>
        <w:t xml:space="preserve">2. </w:t>
      </w:r>
      <w:r>
        <w:rPr>
          <w:rFonts w:ascii="Calibri" w:hAnsi="Calibri"/>
          <w:b w:val="0"/>
          <w:color w:val="3A4A28"/>
          <w:sz w:val="20"/>
        </w:rPr>
        <w:t>Hannover Re $250M New Business Financing Agreement ($150M cap 2027, $250M cap 2028) unlocks aggressive customer acquisition spending without equity dilution, accelerating the in-force premium flywheel [5]</w:t>
      </w:r>
    </w:p>
    <w:p>
      <w:pPr>
        <w:spacing w:before="40" w:after="40"/>
        <w:ind w:left="283"/>
      </w:pPr>
      <w:r>
        <w:rPr>
          <w:rFonts w:ascii="Calibri" w:hAnsi="Calibri"/>
          <w:b/>
          <w:color w:val="4A6B25"/>
          <w:sz w:val="20"/>
        </w:rPr>
        <w:t xml:space="preserve">3. </w:t>
      </w:r>
      <w:r>
        <w:rPr>
          <w:rFonts w:ascii="Calibri" w:hAnsi="Calibri"/>
          <w:b w:val="0"/>
          <w:color w:val="3A4A28"/>
          <w:sz w:val="20"/>
        </w:rPr>
        <w:t>Car insurance scaling toward the 60% loss ratio target, representing Lemonade's largest TAM expansion and primary path to multi-line revenue diversification in the $300B+ US auto insurance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timeline risk — Q4 2026 EBITDA target has been repeatedly revised, and the 15% post-Q2 stock decline despite revenue beats suggests market skepticism; any further delays would erode credibility [5]</w:t>
      </w:r>
    </w:p>
    <w:p>
      <w:pPr>
        <w:spacing w:before="40" w:after="40"/>
        <w:ind w:left="283"/>
      </w:pPr>
      <w:r>
        <w:rPr>
          <w:rFonts w:ascii="Calibri" w:hAnsi="Calibri"/>
          <w:b/>
          <w:color w:val="4A6B25"/>
          <w:sz w:val="20"/>
        </w:rPr>
        <w:t xml:space="preserve">2. </w:t>
      </w:r>
      <w:r>
        <w:rPr>
          <w:rFonts w:ascii="Calibri" w:hAnsi="Calibri"/>
          <w:b w:val="0"/>
          <w:color w:val="3A4A28"/>
          <w:sz w:val="20"/>
        </w:rPr>
        <w:t>Catastrophe exposure concentration as Lemonade retains more premium post-reinsurance transition, increasing balance sheet vulnerability to hurricanes, wildfires, or severe weather that could spike loss ratios in a single quarter</w:t>
      </w:r>
    </w:p>
    <w:p>
      <w:pPr>
        <w:spacing w:before="40" w:after="40"/>
        <w:ind w:left="283"/>
      </w:pPr>
      <w:r>
        <w:rPr>
          <w:rFonts w:ascii="Calibri" w:hAnsi="Calibri"/>
          <w:b/>
          <w:color w:val="4A6B25"/>
          <w:sz w:val="20"/>
        </w:rPr>
        <w:t xml:space="preserve">3. </w:t>
      </w:r>
      <w:r>
        <w:rPr>
          <w:rFonts w:ascii="Calibri" w:hAnsi="Calibri"/>
          <w:b w:val="0"/>
          <w:color w:val="3A4A28"/>
          <w:sz w:val="20"/>
        </w:rPr>
        <w:t>Traditional insurer AI adoption (Progressive, Allstate, State Farm) narrowing technology differentiation while incumbents maintain scale advantages in distribution, data depth (tens of millions of policies vs Lemonade's 3.2M), and regulatory relationships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Lemonade is an AI-native insurer — its entire business model is built on artificial intelligence for underwriting, claims processing, and customer interaction, making AI the core competitive advantage rather than a disruption threat [2][3]. AI Jim processes claims in seconds with a 5% LAE ratio (vs 9% industry average), and algorithmic underwriting enables operation with a fraction of traditional insurer headcount [5]. Insurance requires regulatory licenses, actuarial reserves, and state-by-state compliance that create structural barriers beyond AI's reach. However, traditional insurers (State Farm, Allstate, Progressive) are deploying their own AI with far larger customer bases and decades of data, potentially narrowing Lemonade's technology advantage over time. The company's data moat from 3.2M+ customers is growing but modest relative to incumbents with tens of millions. AI Opportunity (1/1): 100% of Lemonade's revenue is generated through AI-powered operations — the company does not exist without AI, making it a pure-play AI revenue generator in the insurance vertical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Lemonade Q1 2026 Earnings Release and Shareholder Letter — Revenue $258M (+71% YoY), IFP $1.33B — lemonade.com/investor, May 2026</w:t>
      </w:r>
    </w:p>
    <w:p>
      <w:pPr>
        <w:spacing w:before="20" w:after="20"/>
        <w:ind w:left="170"/>
      </w:pPr>
      <w:r>
        <w:rPr>
          <w:rFonts w:ascii="Calibri" w:hAnsi="Calibri"/>
          <w:b/>
          <w:color w:val="4A6B25"/>
          <w:sz w:val="15"/>
        </w:rPr>
        <w:t xml:space="preserve">2. </w:t>
      </w:r>
      <w:r>
        <w:rPr>
          <w:rFonts w:ascii="Calibri" w:hAnsi="Calibri"/>
          <w:b w:val="0"/>
          <w:color w:val="3A4A28"/>
          <w:sz w:val="17"/>
        </w:rPr>
        <w:t>Lemonade CEO Daniel Schreiber AI Strategy — 'Most companies will fail the AI test,' AI-native architecture, 'conductor' leadership style — Insurance Business, InsurTech Digital, 2025-2026</w:t>
      </w:r>
    </w:p>
    <w:p>
      <w:pPr>
        <w:spacing w:before="20" w:after="20"/>
        <w:ind w:left="170"/>
      </w:pPr>
      <w:r>
        <w:rPr>
          <w:rFonts w:ascii="Calibri" w:hAnsi="Calibri"/>
          <w:b/>
          <w:color w:val="4A6B25"/>
          <w:sz w:val="15"/>
        </w:rPr>
        <w:t xml:space="preserve">3. </w:t>
      </w:r>
      <w:r>
        <w:rPr>
          <w:rFonts w:ascii="Calibri" w:hAnsi="Calibri"/>
          <w:b w:val="0"/>
          <w:color w:val="3A4A28"/>
          <w:sz w:val="17"/>
        </w:rPr>
        <w:t>Lemonade ESG and Social Impact — B Corp Certification (score 84.2), Giveback Program ($8M+ to 108 nonprofits), Public Benefit Corporation — Causeartist, B Lab, NYSE ESG Insights</w:t>
      </w:r>
    </w:p>
    <w:p>
      <w:pPr>
        <w:spacing w:before="20" w:after="20"/>
        <w:ind w:left="170"/>
      </w:pPr>
      <w:r>
        <w:rPr>
          <w:rFonts w:ascii="Calibri" w:hAnsi="Calibri"/>
          <w:b/>
          <w:color w:val="4A6B25"/>
          <w:sz w:val="15"/>
        </w:rPr>
        <w:t xml:space="preserve">4. </w:t>
      </w:r>
      <w:r>
        <w:rPr>
          <w:rFonts w:ascii="Calibri" w:hAnsi="Calibri"/>
          <w:b w:val="0"/>
          <w:color w:val="3A4A28"/>
          <w:sz w:val="17"/>
        </w:rPr>
        <w:t>Glassdoor — Lemonade Employee Reviews (3.5/5, 76% CEO approval),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Lemonade Q2 2026 Earnings — Revenue $294M (+79% YoY), Gross Profit $113M (+76%), IFP $1.43B (+32.5%), Net Loss -$43M, Adj EBITDA -$19M (vs -$41M), LAE Ratio 5%, Adj FCF +$19M (5th consec positive quarter), Hannover Re $250M Agreement, FY2026 65% Rev Growth Guidance — GuruFocus, Yahoo Finance, Investing.com,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LMND Key Statistics: Stock Price $55.12, D/E 39%, ROE -26.12%, Profit Margin -14.2%, Market Cap $3.95B, TTM Revenue $844.7M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