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LOGI</w:t>
      </w:r>
      <w:r>
        <w:rPr>
          <w:rFonts w:ascii="Calibri" w:hAnsi="Calibri"/>
          <w:b/>
          <w:color w:val="1A2010"/>
          <w:sz w:val="40"/>
        </w:rPr>
        <w:t xml:space="preserve">  Logitech International S.A.</w:t>
      </w:r>
    </w:p>
    <w:p>
      <w:pPr>
        <w:spacing w:after="120"/>
      </w:pPr>
      <w:r>
        <w:rPr>
          <w:rFonts w:ascii="Calibri" w:hAnsi="Calibri"/>
          <w:b/>
          <w:color w:val="6E8450"/>
          <w:sz w:val="18"/>
        </w:rPr>
        <w:t>GROWTH SLEEVE · 2026-09-26 · Inspire: -49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Computer Hardware · NASDAQ · Switzerland</w:t>
      </w:r>
    </w:p>
    <w:p>
      <w:pPr>
        <w:spacing w:after="80"/>
      </w:pPr>
      <w:r>
        <w:rPr>
          <w:rFonts w:ascii="Calibri" w:hAnsi="Calibri"/>
          <w:b w:val="0"/>
          <w:color w:val="3A4A28"/>
          <w:sz w:val="20"/>
        </w:rPr>
        <w:t>Logitech International S.A. designs, manufactures, and markets software-enabled hardware solutions for personal workspace, video collaboration, gaming, and streaming. Products include mice, keyboards, webcams, headsets, video conferencing systems (Rally AI Camera, Rally AI Pro), and gaming peripherals sold globally under the Logitech and Logitech G brands. FY2026 (ended March 2026) revenue reached $4.84B, with non-GAAP operating income of $911M (+18% YoY) and operating margin of 18.8%. CEO Hanneke Faber is guiding FY2027 to 0-3% sales growth while holding operating margins at the high end of the 15-18% long-term model, prioritizing AI-driven product innovation over topline acceleration.</w:t>
      </w:r>
    </w:p>
    <w:p>
      <w:r>
        <w:rPr>
          <w:rFonts w:ascii="Calibri" w:hAnsi="Calibri"/>
          <w:b/>
          <w:color w:val="6E8450"/>
          <w:sz w:val="18"/>
        </w:rPr>
        <w:t>7,300 Employees · https://www.logitech.com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Logitech has successfully expanded from traditional PC peripherals into AI-powered video collaboration (Rally AI Camera, Rally AI Pro, Sight sensor) and premium gaming (Logitech G), growing FY2026 revenue to $4.84B with non-GAAP operating income up 18% to $911M [1]. CEO Faber's consolidation onto a single Logitech brand and the PRO X SUPERLIGHT gaming mouse's 10-month AI-assisted prototype-to-launch cycle demonstrate execution discipline, though FY2027 guidance of only 0-3% sales growth signals the transformation has not yet produced durable top-line acceleration. AI Deployment (2/2): Logitech ships multiple AI-powered, revenue-generating products — Rally AI Camera, Rally AI Pro for enterprise video, the Sight room-analytics sensor, and AI-enabled noise cancellation across headset lines [1]. Market Share (1/2): Logitech holds a meaningful global position in workspace peripherals and gaming but competes against Microsoft, HP, Apple, and Razer without outright category dominance [1]. Product Pipeline (1/2): Management's FY2027 guidance framework (0-3% growth, 15-18% margin target) provides financial visibility, but Logitech's product secrecy limits disclosure of specific next-gen launch dates. R&amp;D Intensity (1/1): R&amp;D spend remains above hardware-industry average, funding the AI collaboration and gaming product lines that now anchor growth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Logitech's purpose — 'helping all people pursue their passions by designing experiences so everyone can create, achieve, and enjoy more' — is specific and thoughtful, and has persisted across the Bracken Darrell to Hanneke Faber leadership transition [5]. Community Impact (1/2): Logitech maintains Dow Jones Sustainability Index for Europe inclusion, ~94% renewable electricity, three-quarters of products using recycled plastics, and CDP Supplier Engagement Leader status, though specific charitable dollar figures remain undisclosed [6]. Employee Retention (2/2): Glassdoor data shows an 86% CEO approval rating for Hanneke Faber with Logitech scoring 4.2/5 for culture &amp; values, 4.4/5 for diversity/inclusion, and 4.2/5 for work-life balance — strong, above-average retention signals for a hardware company [4]. Insider Buying (0/2): No meaningful net insider buying by CEO Faber or other executives was identified; compensation is primarily equity-award based rather than open-market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across all growth-stock metrics [7]. D/E of 3.6% (near-zero leverage, consistent with a substantial net-cash position) scores a perfect 1.0 against the 70% target. ROE of 35.29% is more than double the 15% target, and Forward P/E of 16.63 sits comfortably below the 20 target. Revenue growth YoY of 6.9% nearly clears the 10% target, while the 5-year revenue CAGR of ~3% (reflecting post-pandemic demand normalization from the FY2022 peak) scores just 0.53. Profit margin of 16.28% falls short of the 20% target (score 0.81), and an estimated forward PEG of ~1.85 (2x weight) reflects the modest FY2027 growth outlook of only 0-3% guided sales growth, the primary drag on an otherwise strong score. Liquidity is ample at ~$99M in average daily dollar volume, far above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Logitech demonstrates strong infinite game characteristics through 40+ years of continuous reinvention — from mice to webcams to gaming to video collaboration to AI-powered devices — surviving multiple technology transitions and two leadership transitions while maintaining a consistent design-driven, purpose-led culture. Faber's brand consolidation and sustained sustainability investment reflect willingness to sacrifice short-term optionality for long-term brand and environmental integrity, though the muted FY2027 growth guidance (0-3%) suggests near-term caution rather than the aggressive reinvestment that would earn a higher score.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Logitech's purpose of helping people pursue passions through designed experiences is genuine and has been consistently lived through 40+ years of product innovation, surviving the Darrell-to-Faber leadership transition [5]. The brand consolidation, sustainability investment, and AI product strategy all trace back to this enabling purpose, though it has not been tested by a true existential crisis.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An 86% CEO approval rating and 4.2/5 culture score on Glassdoor, alongside 4.4/5 for diversity and inclusion, indicate a stable, well-regarded organization under Faber [4]. This is solid evidence of trust but falls short of exceptional-tenure or turnover data that would justify the top score.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Logitech's competitive posture frames rivalry with Microsoft, HP, Apple, and Razer as motivation to build better products rather than to destroy competitors, with Faber emphasizing fewer, larger innovations over headcount-driven product proliferation [1].</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Logitech has fundamentally reinvented itself multiple times — from early computer mice (1981) to broad peripherals to webcams/video collaboration during COVID to its current AI-powered device platform — each pivot driven by the enabling purpose rather than desperation [1][3].</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Faber reversed the costly multi-brand strategy to consolidate 100% on Logitech, and the company continues to fund sustainability commitments (94% renewable electricity, three-quarters recycled-plastic products) that exceed compliance requirements even as FY2027 guidance signals a more conservative growth environment [4][6].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Logitech's fortress balance sheet (D/E of 3.6%, ROE of 35.29%) and record FY2026 non-GAAP operating margin of 18.8% demonstrate that the AI-powered hardware strategy is translating into durable profitability, with $911M non-GAAP operating income (+18% YoY) on $4.84B revenue [1]. AI products (Rally AI Camera, Rally AI Pro, Sight sensor) are shipping and generating revenue, and an 86% CEO approval rating with 4.2/5 Glassdoor culture score confirm strong organizational health under Faber [4]. Forward P/E of 16.63 is reasonable for a company with double-digit ROE and a design-driven innovation culture that has repeatedly reinvented itself over four decades.</w:t>
      </w:r>
    </w:p>
    <w:p>
      <w:pPr>
        <w:spacing w:after="120"/>
      </w:pPr>
      <w:r>
        <w:rPr>
          <w:rFonts w:ascii="Calibri" w:hAnsi="Calibri"/>
          <w:b w:val="0"/>
          <w:color w:val="3A4A28"/>
          <w:sz w:val="20"/>
        </w:rPr>
        <w:t>The bear case centers on decelerating growth and thin GAAP margins. FY2027 guidance of just 0-3% sales growth — down from FY2026's 6.9% pace — signals that the post-pandemic normalization trough has not yet given way to a new durable growth engine, and the 3% 5-year revenue CAGR confirms years of essentially flat topline performance since the COVID peak [1][7]. The Inspire Impact Score of -49 (MISALIGNED) due to abortion activism involvement concerns faith-aligned investors. GAAP profit margin of 16.28% remains below the 20% target, and an estimated forward PEG near 1.85 suggests the stock is not particularly cheap relative to its now-modest growth outlook. AI-powered voice interfaces and ambient computing remain a long-term secular risk to core mouse/keyboard categories that Logitech must continually out-innovate to avoid commoditization.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AI-powered video collaboration products (Rally AI Camera, Rally AI Pro, Sight sensor) expanding the addressable market in enterprise meeting rooms, with B2B demand a key swing factor for reaccelerating growth above the conservative FY2027 guide [1]</w:t>
      </w:r>
    </w:p>
    <w:p>
      <w:pPr>
        <w:spacing w:before="40" w:after="40"/>
        <w:ind w:left="283"/>
      </w:pPr>
      <w:r>
        <w:rPr>
          <w:rFonts w:ascii="Calibri" w:hAnsi="Calibri"/>
          <w:b/>
          <w:color w:val="4A6B25"/>
          <w:sz w:val="20"/>
        </w:rPr>
        <w:t xml:space="preserve">2. </w:t>
      </w:r>
      <w:r>
        <w:rPr>
          <w:rFonts w:ascii="Calibri" w:hAnsi="Calibri"/>
          <w:b w:val="0"/>
          <w:color w:val="3A4A28"/>
          <w:sz w:val="20"/>
        </w:rPr>
        <w:t>Continued operating margin expansion toward the high end of the 15-18% long-term model as AI-driven product development efficiency and enterprise mix shift take hold [1]</w:t>
      </w:r>
    </w:p>
    <w:p>
      <w:pPr>
        <w:spacing w:before="40" w:after="40"/>
        <w:ind w:left="283"/>
      </w:pPr>
      <w:r>
        <w:rPr>
          <w:rFonts w:ascii="Calibri" w:hAnsi="Calibri"/>
          <w:b/>
          <w:color w:val="4A6B25"/>
          <w:sz w:val="20"/>
        </w:rPr>
        <w:t xml:space="preserve">3. </w:t>
      </w:r>
      <w:r>
        <w:rPr>
          <w:rFonts w:ascii="Calibri" w:hAnsi="Calibri"/>
          <w:b w:val="0"/>
          <w:color w:val="3A4A28"/>
          <w:sz w:val="20"/>
        </w:rPr>
        <w:t>Any upside surprise to the muted FY2027 sales guidance (0-3%) could trigger a re-rating given the stock's already-reasonable 16.63x forward P/E [1][7]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FY2027 guidance of only 0-3% sales growth, down sharply from FY2026's 6.9%, suggests the post-COVID normalization trough persists and the AI product cycle has not yet produced a new sustained growth engine [1]</w:t>
      </w:r>
    </w:p>
    <w:p>
      <w:pPr>
        <w:spacing w:before="40" w:after="40"/>
        <w:ind w:left="283"/>
      </w:pPr>
      <w:r>
        <w:rPr>
          <w:rFonts w:ascii="Calibri" w:hAnsi="Calibri"/>
          <w:b/>
          <w:color w:val="4A6B25"/>
          <w:sz w:val="20"/>
        </w:rPr>
        <w:t xml:space="preserve">2. </w:t>
      </w:r>
      <w:r>
        <w:rPr>
          <w:rFonts w:ascii="Calibri" w:hAnsi="Calibri"/>
          <w:b w:val="0"/>
          <w:color w:val="3A4A28"/>
          <w:sz w:val="20"/>
        </w:rPr>
        <w:t>AI-powered voice interfaces and ambient computing could structurally reduce long-term demand for Logitech's largest revenue categories (mice, keyboards, webcams), a risk the company itself flags in its FY2026 10-K [2]</w:t>
      </w:r>
    </w:p>
    <w:p>
      <w:pPr>
        <w:spacing w:before="40" w:after="40"/>
        <w:ind w:left="283"/>
      </w:pPr>
      <w:r>
        <w:rPr>
          <w:rFonts w:ascii="Calibri" w:hAnsi="Calibri"/>
          <w:b/>
          <w:color w:val="4A6B25"/>
          <w:sz w:val="20"/>
        </w:rPr>
        <w:t xml:space="preserve">3. </w:t>
      </w:r>
      <w:r>
        <w:rPr>
          <w:rFonts w:ascii="Calibri" w:hAnsi="Calibri"/>
          <w:b w:val="0"/>
          <w:color w:val="3A4A28"/>
          <w:sz w:val="20"/>
        </w:rPr>
        <w:t>Hardware commoditization pressure from vertically integrated competitors (Apple, Microsoft, HP) and 16.28% GAAP profit margins leave a limited buffer for tariff impacts or price competition in consumer segments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Logitech's B2B video collaboration hardware (Rally, Sight) and gaming peripherals (Logitech G) retain strong defensive moats — enterprise conference rooms and competitive gamers require physical devices regardless of AI advances [1]. However, Logitech's own FY2026 10-K flags that 'challenges relating to the development and use of AI, including generative AI, could result in competitive harm, reputational harm, and legal liability,' and traditional mice/keyboards face long-term secular pressure as ambient computing and voice/AI interfaces mature [2]. No analyst has flagged imminent AI substitution risk for Logitech specifically, and CEO Faber's thesis that AI makes hardware 'sexy again' is echoed by market observers. AI Opportunity (1/1): Logitech generates meaningful AI-embedded revenue through Rally AI Camera, Rally AI Pro, the Sight sensor, and AI noise-cancellation headsets — all shipping, revenue-generating products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Logitech Q4 and Full Fiscal Year 2026 Results — $4.84B Revenue, Non-GAAP Operating Income $911M (+18%), Operating Margin 18.8%, FY2027 Guidance 0-3% Sales Growth, May 2026</w:t>
      </w:r>
    </w:p>
    <w:p>
      <w:pPr>
        <w:spacing w:before="20" w:after="20"/>
        <w:ind w:left="170"/>
      </w:pPr>
      <w:r>
        <w:rPr>
          <w:rFonts w:ascii="Calibri" w:hAnsi="Calibri"/>
          <w:b/>
          <w:color w:val="4A6B25"/>
          <w:sz w:val="15"/>
        </w:rPr>
        <w:t xml:space="preserve">2. </w:t>
      </w:r>
      <w:r>
        <w:rPr>
          <w:rFonts w:ascii="Calibri" w:hAnsi="Calibri"/>
          <w:b w:val="0"/>
          <w:color w:val="3A4A28"/>
          <w:sz w:val="17"/>
        </w:rPr>
        <w:t>Logitech FY2026 Form 10-K — AI Risk Factors and Product Disruption Disclosures, SEC EDGAR, 2026</w:t>
      </w:r>
    </w:p>
    <w:p>
      <w:pPr>
        <w:spacing w:before="20" w:after="20"/>
        <w:ind w:left="170"/>
      </w:pPr>
      <w:r>
        <w:rPr>
          <w:rFonts w:ascii="Calibri" w:hAnsi="Calibri"/>
          <w:b/>
          <w:color w:val="4A6B25"/>
          <w:sz w:val="15"/>
        </w:rPr>
        <w:t xml:space="preserve">3. </w:t>
      </w:r>
      <w:r>
        <w:rPr>
          <w:rFonts w:ascii="Calibri" w:hAnsi="Calibri"/>
          <w:b w:val="0"/>
          <w:color w:val="3A4A28"/>
          <w:sz w:val="17"/>
        </w:rPr>
        <w:t>Fortune / TechCrunch — Design-Focused Turnaround and CEO Hanneke Faber AI Strategy Coverage, 2025-2026</w:t>
      </w:r>
    </w:p>
    <w:p>
      <w:pPr>
        <w:spacing w:before="20" w:after="20"/>
        <w:ind w:left="170"/>
      </w:pPr>
      <w:r>
        <w:rPr>
          <w:rFonts w:ascii="Calibri" w:hAnsi="Calibri"/>
          <w:b/>
          <w:color w:val="4A6B25"/>
          <w:sz w:val="15"/>
        </w:rPr>
        <w:t xml:space="preserve">4. </w:t>
      </w:r>
      <w:r>
        <w:rPr>
          <w:rFonts w:ascii="Calibri" w:hAnsi="Calibri"/>
          <w:b w:val="0"/>
          <w:color w:val="3A4A28"/>
          <w:sz w:val="17"/>
        </w:rPr>
        <w:t>Glassdoor — Logitech Company Culture Reviews (86% CEO Approval, 4.2/5 Culture, 4.4/5 DEI),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Logitech Corporate Website — Company Purpose, Leadership, and Mission,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Logitech Sustainability Databook and FY24 Impact Report — DJSI Europe Inclusion, Renewable Energy, Recycled Materials, 2025-2026</w:t>
      </w:r>
    </w:p>
    <w:p>
      <w:pPr>
        <w:spacing w:before="20" w:after="20"/>
        <w:ind w:left="170"/>
      </w:pPr>
      <w:r>
        <w:rPr>
          <w:rFonts w:ascii="Calibri" w:hAnsi="Calibri"/>
          <w:b/>
          <w:color w:val="4A6B25"/>
          <w:sz w:val="15"/>
        </w:rPr>
        <w:t xml:space="preserve">7. </w:t>
      </w:r>
      <w:r>
        <w:rPr>
          <w:rFonts w:ascii="Calibri" w:hAnsi="Calibri"/>
          <w:b w:val="0"/>
          <w:color w:val="3A4A28"/>
          <w:sz w:val="17"/>
        </w:rPr>
        <w:t>Yahoo Finance / StockAnalysis — LOGI Key Statistics, Financial Data, and Valuation,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