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LRCX</w:t>
      </w:r>
      <w:r>
        <w:rPr>
          <w:rFonts w:ascii="Calibri" w:hAnsi="Calibri"/>
          <w:b/>
          <w:color w:val="1A2010"/>
          <w:sz w:val="40"/>
        </w:rPr>
        <w:t xml:space="preserve">  Lam Research Corporation</w:t>
      </w:r>
    </w:p>
    <w:p>
      <w:pPr>
        <w:spacing w:after="120"/>
      </w:pPr>
      <w:r>
        <w:rPr>
          <w:rFonts w:ascii="Calibri" w:hAnsi="Calibri"/>
          <w:b/>
          <w:color w:val="6E8450"/>
          <w:sz w:val="18"/>
        </w:rPr>
        <w:t>DIVIDEND SLEEVE · 2026-08-28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Lam Research designs, manufactures, and services semiconductor processing equipment used in the fabrication of integrated circuits. The company is a global leader in etch, deposition, and clean technologies — nearly every advanced chip is built using Lam equipment. FY2026 (ending June 2026) delivered record revenue of $23.23B (+26% YoY), record EPS of $5.82 (+41%), and record Q4 gross margin of 52%. CEO Tim Archer restructured leadership in February 2026, elevating Sesha Varadarajan to COO. September quarter guidance of $8.1B (+20% sequential) signals continued acceleration driven by AI semiconductor investment.</w:t>
      </w:r>
    </w:p>
    <w:p>
      <w:r>
        <w:rPr>
          <w:rFonts w:ascii="Calibri" w:hAnsi="Calibri"/>
          <w:b/>
          <w:color w:val="6E8450"/>
          <w:sz w:val="18"/>
        </w:rPr>
        <w:t>22,400 Employees · https://www.lamresearch.com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Lam has meaningfully expanded its addressable market over the past 5 years by developing critical process solutions for AI-era semiconductors — high-bandwidth memory (HBM) etch and deposition, gate-all-around (GAA) transistor patterning, and advanced packaging technologies — driving the Customer Support Business Group to $2.47B in Q4 FY2026 revenue (+43% YoY) [1]. These are substantial new revenue streams within the existing business model but do not represent a transformative business model pivot comparable to NVDA's gaming-to-AI transformation. AI Deployment (1/2): Lam leverages AI internally for equipment process optimization, predictive maintenance, and digital twin simulation of semiconductor fabrication processes, but does not sell standalone AI-powered products to customers [2]. The company's equipment enables AI chip manufacturing but does not itself contain AI as a product feature. Market Share (2/2): Lam holds dominant global market share in conductor etch (~50%), dielectric etch, and atomic layer deposition — critical steps that increase in count with every technology node shrink [1]. The company outgrew the broader WFE market in FY2026, gaining share as AI-driven fab investment concentrated in Lam's core technologies. Product Pipeline (1/2): Next-generation equipment for backside power delivery, advanced 3D NAND, and sub-2nm logic is in development, with customer fab projects providing multi-year demand visibility and September quarter guidance of $8.1B confirming near-term momentum [1]. However, specific product names and launch timelines are not publicly disclosed. R&amp;D Intensity (1/1): Lam's R&amp;D spending of ~$2.2B annually (~9.5% of revenue) exceeds the capital equipment industry average, supporting continuous technology leadership across etch and deposition platforms.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Lam Research articulates its purpose around enabling the world's progress through semiconductor technology, with core values of Achievement, Innovation &amp; Flexibility, Honesty &amp; Integrity, Mutual Trust &amp; Respect, Open Communication, and Teamwork [2]. The values framework is clear and identifies what the company does, but does not articulate a deeply distinctive or transformative vision — it is interchangeable with peer companies in the semiconductor equipment space. Community Impact (1/2): Lam publishes a Global Impact Report with ESG pillars addressing data privacy, supply chain responsibility, and electronic waste management, and has committed to 100% renewable electricity by 2030 and net zero by 2050 [3]. These are meaningful but standard corporate sustainability commitments without distinctive charitable programs or specific dollar amounts cited. Employee Retention (0/2): Headcount grew from 20,600 to 22,400 in FY2026, indicating aggressive hiring to meet demand, but no specific voluntary turnover rates, average employee tenure, or retention metrics are publicly disclosed. Insider Buying (0/2): Recent insider transaction data shows $20M in insider stock sales by a director in June 2026. No evidence of meaningful net insider buying by CEO Tim Archer or other executives was identified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stock metrics. Lam demonstrates exceptional financial strength across nearly every dimension [1][4]. D/E of 35% is well below the 70% target, with $5.6B in gross cash against $3.73B in debt. ROE of 66.76% far exceeds the 15% target. Revenue growth YoY of 26% ($23.23B vs $18.44B FY2025) scores 1.0; 5-year revenue CAGR of approximately 9.7% scores 0.98 (just below the 10% target, depressed by the FY2023-2024 semiconductor cycle downturn). Profit margin of approximately 31% exceeds the 20% target. Dividend metrics are uniformly strong: payout ratio 18.5% ($1.04 annual on $5.82 EPS), 13 consecutive years of payments, 11 consecutive years of dividend increases, and 5-year dividend growth CAGR of 14.9% (all scoring 1.0 with appropriate weights). The sole drag is Forward P/E of 36.55 (scoring 0.59), reflecting premium valuation for AI-driven growth expectations. Weighted sum 11.57/12 = 9.64, rounded to 10. Liquidity passes easily at ~$2.6B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Lam Research operates with the engineering discipline and long-term investment orientation characteristic of semiconductor capital equipment companies — maintaining technology leadership through multi-decade R&amp;D investment while navigating cyclical downturns. However, the company's purpose is functional rather than transcendent, and it lacks the deeply articulated Just Cause that separates infinite game exemplars. The February 2026 leadership restructuring — elevating a COO and reorganizing for 'velocity in the AI era' — reflects strategic adaptation but also a reactive posture to the current AI boom rather than proactive cause-driven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Lam Research's purpose — enabling the world's progress through semiconductor technology — is a functional articulation of what the company does rather than a transformative vision of a better future [2]. The cause is genuine in that Lam's equipment enables technological progress, but it reads as a business description rather than an idealistic, never-fully-achievable vision that drives strategic sacrifice. Leadership references to 'velocity in the AI era' and 'outperformance' frame the company in competitive and financial terms.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Lam has demonstrated stable leadership with Tim Archer serving as CEO since 2018, and the February 2026 restructuring elevated existing leaders (Varadarajan to COO) rather than disrupting the organization [2]. Headcount growth from 20,600 to 22,400 and emphasis on 'values-based culture' suggest a functional trust environment. No specific evidence of exceptional employee empowerment or psychological safety practices was identified beyond standard corporate language.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Lam competes with Applied Materials (AMAT) and Tokyo Electron (TEL) in a market where technology leadership determines customer adoption. Management's language focuses on 'outperforming the WFE market' and 'technology transitions' rather than destroying competitors [1]. The decision to reorganize leadership to 'innovate faster' reflects self-improvement orientation.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Lam has expanded from its core etch franchise into deposition, clean, and advanced packaging technologies over the past two decades, successfully diversifying its revenue base [1]. The strategic pivot to support AI-era semiconductor manufacturing — HBM, GAA transistors, backside power delivery — demonstrates meaningful adaptation. However, these expansions are incremental extensions of the core semiconductor equipment platform, not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Lam maintained elevated R&amp;D spending (~$2.2B annually) through the FY2023-2024 semiconductor equipment downturn when revenue declined from $17.4B to $14.9B, investing in next-generation technologies that positioned the company for the AI recovery [1]. The February 2026 leadership restructuring shows willingness to disrupt internal structures. These decisions reflect sound long-term thinking, though they are standard capital equipment industry practice.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Lam Research at 36.55x forward earnings is a premium semiconductor equipment compounder riding the largest WFE investment cycle in history — FY2026 delivered record revenue of $23.23B (+26% YoY) with record gross margins of 52% and EPS of $5.82 (+41%), while September quarter guidance of $8.1B implies a $32B+ annual run rate, a step-change from the current fiscal year [1]. The AI buildout is structurally expanding Lam's addressable market: HBM production requires 3-4x more etch/deposition steps, GAA transistors increase process complexity, and advanced packaging adds entirely new equipment layers. D/E of 35% with $5.6B in cash provides balance sheet optionality, while the 18.5% payout ratio and 14.9% 5-year dividend growth CAGR ensure reliable income growth. Management's description of FY2027 as 'extraordinary' and long-term margin targets of mid-50s% gross and mid-40s% operating margins suggest the earnings trajectory is still early-cycle.</w:t>
      </w:r>
    </w:p>
    <w:p>
      <w:pPr>
        <w:spacing w:after="120"/>
      </w:pPr>
      <w:r>
        <w:rPr>
          <w:rFonts w:ascii="Calibri" w:hAnsi="Calibri"/>
          <w:b w:val="0"/>
          <w:color w:val="3A4A28"/>
          <w:sz w:val="20"/>
        </w:rPr>
        <w:t>The bear case centers on valuation compression and cyclicality. Forward P/E of 36.55x prices in sustained acceleration — any deceleration in WFE spending or customer pushouts could trigger meaningful multiple compression, as occurred in the FY2023-2024 downturn when revenue declined 14% from FY2022 peaks [4]. The semiconductor equipment industry is inherently cyclical, and the current AI investment boom may prove front-loaded, with customer capacity additions outpacing end-market demand. U.S.-China export restrictions limit Lam's access to Chinese customers (historically 25-30% of industry revenue), and further tightening could accelerate Chinese domestic equipment development [3]. The Inspire Impact Score of -49 (MISALIGNED) limits allocation for faith-based investors. The Inspiration score of 3/10 reflects a company that excels at engineering execution but lacks the purpose-driven leadership IOWN values alongside financial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WFE spending expected to reach low $150B in CY2026 (up from $140B prior outlook), with Lam outperforming on higher etch/deposition intensity — September quarter guidance of $8.1B implies $32B+ annual run rate versus FY2026's $23.2B [1]</w:t>
      </w:r>
    </w:p>
    <w:p>
      <w:pPr>
        <w:spacing w:before="40" w:after="40"/>
        <w:ind w:left="283"/>
      </w:pPr>
      <w:r>
        <w:rPr>
          <w:rFonts w:ascii="Calibri" w:hAnsi="Calibri"/>
          <w:b/>
          <w:color w:val="4A6B25"/>
          <w:sz w:val="20"/>
        </w:rPr>
        <w:t xml:space="preserve">2. </w:t>
      </w:r>
      <w:r>
        <w:rPr>
          <w:rFonts w:ascii="Calibri" w:hAnsi="Calibri"/>
          <w:b w:val="0"/>
          <w:color w:val="3A4A28"/>
          <w:sz w:val="20"/>
        </w:rPr>
        <w:t>Long-term margin expansion toward mid-50s% gross and mid-40s% operating margins as product mix shifts toward higher-value AI-related process equipment, up from current 52% gross and 38.4% operating [1]</w:t>
      </w:r>
    </w:p>
    <w:p>
      <w:pPr>
        <w:spacing w:before="40" w:after="40"/>
        <w:ind w:left="283"/>
      </w:pPr>
      <w:r>
        <w:rPr>
          <w:rFonts w:ascii="Calibri" w:hAnsi="Calibri"/>
          <w:b/>
          <w:color w:val="4A6B25"/>
          <w:sz w:val="20"/>
        </w:rPr>
        <w:t xml:space="preserve">3. </w:t>
      </w:r>
      <w:r>
        <w:rPr>
          <w:rFonts w:ascii="Calibri" w:hAnsi="Calibri"/>
          <w:b w:val="0"/>
          <w:color w:val="3A4A28"/>
          <w:sz w:val="20"/>
        </w:rPr>
        <w:t>Multi-year customer fab projects with unprecedented demand visibility — major foundries and memory manufacturers have announced $100B+ in combined fab investments through 2028, providing durable equipment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Semiconductor equipment cyclicality — WFE spending has historically experienced 20-30% peak-to-trough declines, and the current AI boom may front-load demand, creating correction risk if AI monetization fails to justify data center capex by 2028 [4]</w:t>
      </w:r>
    </w:p>
    <w:p>
      <w:pPr>
        <w:spacing w:before="40" w:after="40"/>
        <w:ind w:left="283"/>
      </w:pPr>
      <w:r>
        <w:rPr>
          <w:rFonts w:ascii="Calibri" w:hAnsi="Calibri"/>
          <w:b/>
          <w:color w:val="4A6B25"/>
          <w:sz w:val="20"/>
        </w:rPr>
        <w:t xml:space="preserve">2. </w:t>
      </w:r>
      <w:r>
        <w:rPr>
          <w:rFonts w:ascii="Calibri" w:hAnsi="Calibri"/>
          <w:b w:val="0"/>
          <w:color w:val="3A4A28"/>
          <w:sz w:val="20"/>
        </w:rPr>
        <w:t>U.S.-China export restriction escalation could further limit access to Chinese semiconductor manufacturers (historically 25-30% of industry revenue) while accelerating Chinese domestic equipment development from NAURA and AMEC [3]</w:t>
      </w:r>
    </w:p>
    <w:p>
      <w:pPr>
        <w:spacing w:before="40" w:after="40"/>
        <w:ind w:left="283"/>
      </w:pPr>
      <w:r>
        <w:rPr>
          <w:rFonts w:ascii="Calibri" w:hAnsi="Calibri"/>
          <w:b/>
          <w:color w:val="4A6B25"/>
          <w:sz w:val="20"/>
        </w:rPr>
        <w:t xml:space="preserve">3. </w:t>
      </w:r>
      <w:r>
        <w:rPr>
          <w:rFonts w:ascii="Calibri" w:hAnsi="Calibri"/>
          <w:b w:val="0"/>
          <w:color w:val="3A4A28"/>
          <w:sz w:val="20"/>
        </w:rPr>
        <w:t>Premium valuation at 36.55x forward P/E and PEG of 1.65 assumes sustained double-digit earnings growth — any guidance miss or WFE spending revision could trigger 20%+ multiple compression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Lam Research is semiconductor infrastructure — AI cannot exist without the equipment Lam builds [1]. Every advanced AI chip from NVIDIA, AMD, and custom silicon (Google TPU, Amazon Trainium, Microsoft Maia) requires Lam's etch and deposition tools. AI directly increases demand for Lam's products: HBM production requires 3-4x more etch and deposition steps than conventional DRAM, advanced logic nodes for AI accelerators demand more patterning layers, and AI-driven data center expansion is driving the WFE market to $150B+ in CY2026 [1]. Lam's business is physical manufacturing equipment with decade-long customer qualification cycles — there is zero substitution risk from AI. AI Opportunity (1/1): FY2026 record revenue of $23.23B and guidance acceleration to $8.1B in the September quarter are directly attributable to AI-driven semiconductor investment [1]. Management described fiscal 2027 as an 'extraordinary year' due to AI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Lam Research Q4 FY2026 Earnings Release — Record Revenue $6.72B (+30% YoY), FY2026 Revenue $23.23B (+26%), EPS $5.82 (+41%), Gross Margin 52%, September Quarter Guidance $8.1B, July 2026</w:t>
      </w:r>
    </w:p>
    <w:p>
      <w:pPr>
        <w:spacing w:before="20" w:after="20"/>
        <w:ind w:left="170"/>
      </w:pPr>
      <w:r>
        <w:rPr>
          <w:rFonts w:ascii="Calibri" w:hAnsi="Calibri"/>
          <w:b/>
          <w:color w:val="4A6B25"/>
          <w:sz w:val="15"/>
        </w:rPr>
        <w:t xml:space="preserve">2. </w:t>
      </w:r>
      <w:r>
        <w:rPr>
          <w:rFonts w:ascii="Calibri" w:hAnsi="Calibri"/>
          <w:b w:val="0"/>
          <w:color w:val="3A4A28"/>
          <w:sz w:val="17"/>
        </w:rPr>
        <w:t>Lam Research Leadership Transitions Announcement — COO Elevation, AI Era Strategy, Corporate Values — Lam Research Newsroom, PR Newswire, February 2026</w:t>
      </w:r>
    </w:p>
    <w:p>
      <w:pPr>
        <w:spacing w:before="20" w:after="20"/>
        <w:ind w:left="170"/>
      </w:pPr>
      <w:r>
        <w:rPr>
          <w:rFonts w:ascii="Calibri" w:hAnsi="Calibri"/>
          <w:b/>
          <w:color w:val="4A6B25"/>
          <w:sz w:val="15"/>
        </w:rPr>
        <w:t xml:space="preserve">3. </w:t>
      </w:r>
      <w:r>
        <w:rPr>
          <w:rFonts w:ascii="Calibri" w:hAnsi="Calibri"/>
          <w:b w:val="0"/>
          <w:color w:val="3A4A28"/>
          <w:sz w:val="17"/>
        </w:rPr>
        <w:t>Lam Research ESG and Sustainability — 2024 Global Impact Report, 100% Renewable Electricity by 2030, Net Zero by 2050 — lamresearch.com,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LRCX Key Statistics: Forward P/E 36.55x, ROE 66.76%, D/E 35%, Stock Price $314.66, Insider Transactions,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