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LRMR</w:t>
      </w:r>
      <w:r>
        <w:rPr>
          <w:rFonts w:ascii="Calibri" w:hAnsi="Calibri"/>
          <w:b/>
          <w:color w:val="1A2010"/>
          <w:sz w:val="40"/>
        </w:rPr>
        <w:t xml:space="preserve">  Larimar Therapeutics, Inc.</w:t>
      </w:r>
    </w:p>
    <w:p>
      <w:pPr>
        <w:spacing w:after="120"/>
      </w:pPr>
      <w:r>
        <w:rPr>
          <w:rFonts w:ascii="Calibri" w:hAnsi="Calibri"/>
          <w:b/>
          <w:color w:val="6E8450"/>
          <w:sz w:val="18"/>
        </w:rPr>
        <w:t>GROWTH SLEEVE · 2026-08-30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Larimar Therapeutics is a clinical-stage biopharmaceutical company developing nomlabofusp, a recombinant fusion protein designed to deliver human frataxin into the mitochondria of patients with Friedreich's ataxia (FA), a rare genetic neurodegenerative disorder affecting approximately 15,000-22,000 patients in the US and EU. The company received FDA Breakthrough Therapy Designation and initiated a rolling Biologics License Application (BLA) submission in mid-2026, targeting potential approval and mid-2027 launch. Larimar has no product revenue, reported Q2 2026 net loss of $32.8M, and holds $156.3M in cash. Market cap approximately $420M.</w:t>
      </w:r>
    </w:p>
    <w:p>
      <w:r>
        <w:rPr>
          <w:rFonts w:ascii="Calibri" w:hAnsi="Calibri"/>
          <w:b/>
          <w:color w:val="6E8450"/>
          <w:sz w:val="18"/>
        </w:rPr>
        <w:t>80 Employees · https://larimartx.com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Larimar has advanced nomlabofusp from early clinical trials through a significant FDA clinical hold (related to anaphylaxis concerns), resolution of that hold, and ultimately receipt of Breakthrough Therapy Designation — a designation reserved for drugs that show substantial improvement over existing treatments [2][3]. The successful navigation of the clinical hold and accumulation of positive long-term open-label data represent meaningful scientific and regulatory achievements for a small biotech. AI Deployment (0/2): No AI-powered products, services, or quantifiable AI-driven efficiencies. Drug development follows traditional clinical trial methodology without disclosed AI integration. Market Share (1/2): If approved, nomlabofusp would be the first approved treatment specifically targeting frataxin deficiency in Friedreich's ataxia, creating a first-in-class therapy in a rare disease with significant unmet medical need [2]. The orphan disease designation provides 7 years of market exclusivity. However, the product has not yet been approved, and the addressable patient population is small (~15,000-22,000 in US/EU). Product Pipeline (2/2): The rolling BLA submission was initiated in mid-2026 with the first module submitted, targeting mid-2027 FDA approval — specific, named regulatory milestones with clear timelines [2]. Breakthrough Therapy Designation qualifies the program for intensive FDA guidance and potentially accelerated review, providing strong pipeline visibility. R&amp;D Intensity (0/1): As a clinical-stage company, essentially 100% of spending is R&amp;D by definition. This is standard for pre-revenue biotechs and does not represent above-peer commitment.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Larimar's purpose — developing life-changing therapies for patients with Friedreich's ataxia, a devastating rare genetic disease that progressively destroys the nervous system and has no approved treatment — is specific, deeply purposeful, and clearly connects the company's work to alleviating profound human suffering [2]. CEO Carole Ben-Maimon, MD, has led the company since 2016, bringing over 25 years of pharmaceutical experience and demonstrating sustained personal commitment to the rare disease mission. The cause differentiates from generic pharma missions and has shaped every strategic decision the company has made. However, the company is too young to have validated this purpose through decades of consistent execution. Community Impact (0/2): No evidence of community philanthropy or charitable programs beyond the core drug development mission. The company's small size and pre-revenue status limit capacity for separate community engagement. Employee Retention (0/2): No public data on employee turnover, tenure, or workforce engagement metrics. The company employs approximately 80 people, making aggregate retention data less meaningful.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scoring is largely inapplicable for a pre-revenue clinical-stage biopharmaceutical company. Larimar generates zero product revenue, reports deeply negative earnings (-$32.8M net loss in Q2 2026 alone, -$2.22 consensus EPS for FY2026), and has no meaningful PE, profit margin, or revenue growth metrics to evaluate [1][4]. The sole positive financial indicator is the $156.3M cash position as of Q2 2026, which provides approximately 12-15 months of operational runway at current burn rates — adequate to complete the BLA submission process but potentially insufficient to fund a commercial launch without additional capital [1]. The stock passes the IOWN liquidity floor with estimated daily traded value exceeding $2.8M. Score of 1 reflects the algorithmic limitation that most infrastructure metrics are undefined for pre-revenue biotechs, not a judgment on the company's cash position or clinical progress.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Larimar Therapeutics operates with a genuine cause — alleviating suffering from Friedreich's ataxia — and has demonstrated persistence through significant setbacks (FDA clinical hold, safety signal concerns). CEO Ben-Maimon's 10-year tenure reflects personal commitment to the mission. However, the company's single-product focus and clinical-stage status limit the evidence available to assess existential flexibility and long-term organizational culture. The cause is real but the organization has not yet faced the tests that separate infinite from 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Larimar has a genuine cause — developing the first targeted treatment for Friedreich's ataxia, a devastating rare disease that progressively destroys the nervous system of children and young adults [2]. CEO Carole Ben-Maimon has dedicated a decade to this mission, and the company's Breakthrough Therapy Designation validates that the cause addresses a profound unmet medical need. Strategic decisions (persisting through the FDA clinical hold, navigating anaphylaxis safety signals) can be traced back to the commitment to FA patients [3]. However, the company is too young and single-product focused to have validated this cause through the kind of multi-decade, multi-crisis consistency that Sinek considers the gold standard.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Carole Ben-Maimon's 10-year tenure provides leadership stability uncommon in small-cap biotech, where executive turnover is frequent. The small team size (~80 employees) and rare disease focus create natural alignment around a shared mission [2]. Recent additions to the board of directors (Dr. Jeffery W. Sherman) suggest deliberate governance strengthening. However, no specific data on employee satisfaction, voluntary turnover, or organizational trust practices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Larimar operates in a rare disease space where the competitive dynamic is fundamentally different from winner-take-all markets. The company's approach to Friedreich's ataxia coexists with other treatment modalities (gene therapy competitors, small molecule approaches), and management has focused on demonstrating nomlabofusp's clinical benefits rather than disparaging alternative approaches [2]. The rare disease ethos — where companies often collaborate on patient registries and natural history studies — reflects an infinite competitive mindset oriented toward patient outcomes rather than market destruction.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Larimar is a single-product clinical-stage company focused entirely on nomlabofusp for Friedreich's ataxia. The company has not faced a strategic pivot test — its entire existence has been dedicated to advancing one therapy for one disease. While the cell penetrating peptide technology platform could theoretically enable additional programs, no evidence of strategic diversification or willingness to abandon the current approach in favor of something new has been demonstrated. The company is too young and too focused to have been tested on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Larimar demonstrated meaningful courage by persisting through the FDA clinical hold on nomlabofusp, continuing to invest in development and long-term open-label studies despite the regulatory setback and the anaphylaxis safety signal that caused shares to fall significantly [3]. Management chose to address safety concerns directly rather than abandoning the program, ultimately convincing the FDA to fully lift the hold. This represents choosing long-term capability and patient impact over near-term share price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Larimar Therapeutics is a clinical-stage rare disease biotech at a critical inflection point — the rolling BLA submission for nomlabofusp was initiated in mid-2026, with Breakthrough Therapy Designation providing expedited FDA review and a targeted mid-2027 approval [2]. If approved, nomlabofusp would be the first treatment targeting frataxin deficiency in Friedreich's ataxia, a rare genetic disease with ~15,000-22,000 patients in the US and EU and zero approved therapies, creating an orphan drug monopoly with 7 years of market exclusivity. Long-term open-label data has shown significant functional improvement in FA patients, validating the clinical thesis [3]. The $156.3M cash position provides operational runway through the BLA review process, and the Inspire Impact Score of 27 (ALIGNED) reflects the company's patient-access focus [1]. At a market cap of ~$420M, the stock prices in meaningful but not complete approval probability, offering potential upside if the BLA proceeds as planned.</w:t>
      </w:r>
    </w:p>
    <w:p>
      <w:pPr>
        <w:spacing w:after="120"/>
      </w:pPr>
      <w:r>
        <w:rPr>
          <w:rFonts w:ascii="Calibri" w:hAnsi="Calibri"/>
          <w:b w:val="0"/>
          <w:color w:val="3A4A28"/>
          <w:sz w:val="20"/>
        </w:rPr>
        <w:t>The bear case centers on binary regulatory risk, pre-revenue financial fragility, and safety signal concerns. The BLA outcome is fundamentally binary — rejection or a Complete Response Letter would devastate the stock, and the anaphylaxis safety signal that triggered the previous clinical hold remains an unresolved concern that the FDA could revisit during the BLA review [3]. The company burns approximately $130M annually with zero revenue, and $156.3M in cash provides only ~14 months of runway — a commercial launch in mid-2027 would require significant additional capital for manufacturing scale-up, sales force hiring, and market access infrastructure [1][4]. The addressable market is small by pharmaceutical standards (~15,000-22,000 patients), potentially limiting peak revenue to $500M-$1B annually and capping the long-term valuation. Infrastructure scoring is essentially zero due to the absence of revenue, earnings, or profitability metrics — the IOWN framework is structurally ill-suited for pre-revenue biotechs. Competition from gene therapy approaches (which promise a single-treatment cure vs. nomlabofusp's ongoing dosing requirement) represents a longer-term threat to market share even if approval is secured.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Rolling BLA submission progression with FDA review milestones expected through late 2026 and into 2027, with Breakthrough Therapy Designation qualifying the application for potentially accelerated review timeline and intensive FDA guidance [2]</w:t>
      </w:r>
    </w:p>
    <w:p>
      <w:pPr>
        <w:spacing w:before="40" w:after="40"/>
        <w:ind w:left="283"/>
      </w:pPr>
      <w:r>
        <w:rPr>
          <w:rFonts w:ascii="Calibri" w:hAnsi="Calibri"/>
          <w:b/>
          <w:color w:val="4A6B25"/>
          <w:sz w:val="20"/>
        </w:rPr>
        <w:t xml:space="preserve">2. </w:t>
      </w:r>
      <w:r>
        <w:rPr>
          <w:rFonts w:ascii="Calibri" w:hAnsi="Calibri"/>
          <w:b w:val="0"/>
          <w:color w:val="3A4A28"/>
          <w:sz w:val="20"/>
        </w:rPr>
        <w:t>Additional long-term open-label data readouts could strengthen the efficacy narrative and potentially support a broader label, reducing the binary risk perception and driving re-rating of the stock ahead of the PDUFA date [3]</w:t>
      </w:r>
    </w:p>
    <w:p>
      <w:pPr>
        <w:spacing w:before="40" w:after="40"/>
        <w:ind w:left="283"/>
      </w:pPr>
      <w:r>
        <w:rPr>
          <w:rFonts w:ascii="Calibri" w:hAnsi="Calibri"/>
          <w:b/>
          <w:color w:val="4A6B25"/>
          <w:sz w:val="20"/>
        </w:rPr>
        <w:t xml:space="preserve">3. </w:t>
      </w:r>
      <w:r>
        <w:rPr>
          <w:rFonts w:ascii="Calibri" w:hAnsi="Calibri"/>
          <w:b w:val="0"/>
          <w:color w:val="3A4A28"/>
          <w:sz w:val="20"/>
        </w:rPr>
        <w:t>Mid-2027 FDA approval decision would unlock the first-in-class commercial opportunity in Friedreich's ataxia, triggering a fundamental shift from clinical-stage to commercial-stage valuation framework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BLA regulatory outcome — FDA rejection, Complete Response Letter, or requirement for additional clinical data would devastate the stock and potentially create a going-concern scenario given the $130M+ annual cash burn against $156.3M in cash reserves [1][4]</w:t>
      </w:r>
    </w:p>
    <w:p>
      <w:pPr>
        <w:spacing w:before="40" w:after="40"/>
        <w:ind w:left="283"/>
      </w:pPr>
      <w:r>
        <w:rPr>
          <w:rFonts w:ascii="Calibri" w:hAnsi="Calibri"/>
          <w:b/>
          <w:color w:val="4A6B25"/>
          <w:sz w:val="20"/>
        </w:rPr>
        <w:t xml:space="preserve">2. </w:t>
      </w:r>
      <w:r>
        <w:rPr>
          <w:rFonts w:ascii="Calibri" w:hAnsi="Calibri"/>
          <w:b w:val="0"/>
          <w:color w:val="3A4A28"/>
          <w:sz w:val="20"/>
        </w:rPr>
        <w:t>Anaphylaxis safety signal from earlier clinical studies remains an unresolved concern that the FDA could raise during BLA review, potentially requiring a Risk Evaluation and Mitigation Strategy (REMS) that would complicate commercial launch or, in a worst case, halt the program [3]</w:t>
      </w:r>
    </w:p>
    <w:p>
      <w:pPr>
        <w:spacing w:before="40" w:after="40"/>
        <w:ind w:left="283"/>
      </w:pPr>
      <w:r>
        <w:rPr>
          <w:rFonts w:ascii="Calibri" w:hAnsi="Calibri"/>
          <w:b/>
          <w:color w:val="4A6B25"/>
          <w:sz w:val="20"/>
        </w:rPr>
        <w:t xml:space="preserve">3. </w:t>
      </w:r>
      <w:r>
        <w:rPr>
          <w:rFonts w:ascii="Calibri" w:hAnsi="Calibri"/>
          <w:b w:val="0"/>
          <w:color w:val="3A4A28"/>
          <w:sz w:val="20"/>
        </w:rPr>
        <w:t>Capital requirements for commercial launch (manufacturing scale-up, sales force, market access) would likely necessitate a significant equity offering that dilutes existing shareholders by 20-40%, with the fundraise occurring during a period of maximum binary risk around the PDUFA decision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Larimar's business — developing and manufacturing a recombinant biologic protein therapy for a rare genetic disease — is maximally immune to AI disruption. AI cannot synthesize frataxin protein, cannot replace the physical manufacturing of biologics, cannot substitute for FDA-mandated clinical trials on human patients, and cannot perform the subcutaneous drug delivery that nomlabofusp requires [2][3]. The rare disease regulatory framework (orphan drug exclusivity, Breakthrough Therapy Designation) provides additional structural protection from both AI and competitive displacement. If anything, AI may modestly accelerate future drug discovery at Larimar, but the core product and regulatory pathway are entirely physical and biological in nature. No analyst has flagged AI as a risk factor for rare disease biologic companies. AI Opportunity (0/1): Larimar does not generate revenue from AI-related products or services. While AI tools may support internal drug development processes (molecular modeling, clinical trial design), no quantifiable AI revenue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Larimar Therapeutics Q2 2026 Update — Net Loss $32.8M, Cash $156.3M, Rolling BLA First Module Submitted, EPS -$0.31 (Q1) vs. Consensus -$0.56 — Yahoo Finance,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Larimar Therapeutics Breakthrough Therapy Designation and BLA — Nomlabofusp for Friedreich's Ataxia, BLA Submission June 2026, CEO Carole Ben-Maimon MD (Since 2016), Mid-2027 Launch Target — Quiver Quantitative, larimartx.com, 2026</w:t>
      </w:r>
    </w:p>
    <w:p>
      <w:pPr>
        <w:spacing w:before="20" w:after="20"/>
        <w:ind w:left="170"/>
      </w:pPr>
      <w:r>
        <w:rPr>
          <w:rFonts w:ascii="Calibri" w:hAnsi="Calibri"/>
          <w:b/>
          <w:color w:val="4A6B25"/>
          <w:sz w:val="15"/>
        </w:rPr>
        <w:t xml:space="preserve">3. </w:t>
      </w:r>
      <w:r>
        <w:rPr>
          <w:rFonts w:ascii="Calibri" w:hAnsi="Calibri"/>
          <w:b w:val="0"/>
          <w:color w:val="3A4A28"/>
          <w:sz w:val="17"/>
        </w:rPr>
        <w:t>Larimar Therapeutics Clinical Development — Open-Label Study Positive Functional Data, FDA Clinical Hold Lifted, Anaphylaxis Safety Signal — BioSpace, FierceBiotech, Investor Press Releases,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LRMR Key Statistics: Market Cap ~$420M, Shares Outstanding 104.38M, No Revenue, EPS -$2.22 Consensus FY2026,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