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LTC</w:t>
      </w:r>
      <w:r>
        <w:rPr>
          <w:rFonts w:ascii="Calibri" w:hAnsi="Calibri"/>
          <w:b/>
          <w:color w:val="1A2010"/>
          <w:sz w:val="40"/>
        </w:rPr>
        <w:t xml:space="preserve">  LTC Properties, Inc.</w:t>
      </w:r>
    </w:p>
    <w:p>
      <w:pPr>
        <w:spacing w:after="120"/>
      </w:pPr>
      <w:r>
        <w:rPr>
          <w:rFonts w:ascii="Calibri" w:hAnsi="Calibri"/>
          <w:b/>
          <w:color w:val="6E8450"/>
          <w:sz w:val="18"/>
        </w:rPr>
        <w:t>DIVIDEND SLEEVE · 2026-09-21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LTC Properties, Inc. is a real estate investment trust investing in seniors housing and health care properties through its senior housing operating portfolio (SHOP), triple-net leases, joint ventures, and structured finance solutions. The portfolio includes nearly 190 properties across the United States, approximately 70% seniors housing and 30% skilled nursing. The company is executing a transformative pivot from a passive triple-net lease REIT to an active SHOP operator, with $353M in SHOP acquisitions completed in 2025 and $400-800M targeted for 2026 [1]. SHOP as a percentage of gross investments is projected to grow from 29% to 45% by year-end 2026. Founded in 1992, headquartered in Westlake Village, California.</w:t>
      </w:r>
    </w:p>
    <w:p>
      <w:r>
        <w:rPr>
          <w:rFonts w:ascii="Calibri" w:hAnsi="Calibri"/>
          <w:b/>
          <w:color w:val="6E8450"/>
          <w:sz w:val="18"/>
        </w:rPr>
        <w:t>25 Employees · https://www.ltcreit.com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LTC has executed a significant strategic pivot from a triple-net lease REIT to an active SHOP operator since launching the initiative in 2025. The transformation is substantial: $353M in SHOP acquisitions in 2025 with 22% SHOP NOI growth over 2024 proforma, and $400-800M projected for 2026 to bring SHOP to 45% of gross investments [1]. Revenue grew 60% in 2025 and 65.5% TTM driven by SHOP resident fees. This represents a genuine business model transformation. AI Deployment (1/2): LTC is implementing AI-enabled workflow design for document review, operator reporting analysis, and recurring asset-management processes, with management pursuing practical AI tools for lease abstraction, covenant tracking, and portfolio-performance visibility [2]. Market Share (1/2): LTC is a mid-tier player in the seniors housing REIT space with ~190 properties, competing against larger platforms like Welltower (~1,900 properties) and Ventas. The company is actively gaining position through SHOP acquisitions [1]. Product Pipeline (1/2): Active deal pipeline targeting $400-800M in 2026 SHOP acquisitions, with SHOP projected to reach 40% of NOI by year-end [1]. R&amp;D Intensity (0/1): Not applicable for a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LTC's vision to be 'the capital partner of choice for high-quality seniors housing and healthcare operators' connects real estate investment to serving elderly care needs — 'curating their portfolio for the people who matter most — operators, residents, and shareholders' [2]. Clear and purposeful but not sufficiently distinctive from peer healthcare REITs. Community Impact (1/2): LTC published its inaugural ESG report 'People. Planet. Purpose.' in 2023, established an ESG Board committee in 2021, initiated programs helping operators implement sustainable business solutions, and participates in the California Clean Power Alliance Program [3]. Employee Retention (0/2): Company has only 25 employees making retention data difficult to assess. The co-president structure with Clint Malin (appointed December 2024) and transition of Wendy Simpson to Executive Chairman after 17 years as CEO suggests leadership continuity [2]. No specific retention metrics available. Insider Buying (1/2): CIO Dave Boitano purchased 10,000 shares ($346,900) in June 2026, demonstrating meaningful individual conviction though not a broad pattern across multiple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LTC's revenue growth is exceptional at 65.5% YoY (TTM), driven by the SHOP transformation adding resident fees and services revenue [3]. 5-year revenue CAGR of approximately 10% meets the target. D/E of 58.1% is well below the 70% target, appropriate for a healthcare REIT [3]. ROE of 11.8% is below the 15% target but above the floor, reflecting REIT-typical capital intensity. Profit margin of 39.85% is strong, well above the 20% target. Forward P/E of 27.0 is above the 20 target, partially distorted by REIT GAAP accounting where depreciation depresses earnings relative to FFO. Payout ratio of 81.4% is elevated but typical for REITs required to distribute 90%+ of taxable income, providing limited score credit (0.31). Consecutive years paid of approximately 34 (since 1992) is exceptional, scoring maximum at 2x weight. However, consecutive years growth is 0 (dividend held flat at $2.28/year from 2021-2025) and 5-year dividend growth CAGR is 0%, both scoring 0 and dragging the score with combined 3x weight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LTC Properties demonstrates meaningfully infinite-game characteristics through its bold SHOP transformation, which sacrifices the predictability of triple-net leases in pursuit of greater alignment with operators and residents. The company's 34-year track record investing in seniors housing since 1992 provides genuine long-term consistency, and the co-president succession model shows thoughtful leadership continuity. The SHOP pivot, involving over $1 billion in capital reallocation, represents genuine existential flexibility and courageous leadership [1].</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LTC's purpose of being the capital partner of choice for seniors housing operators connects real estate investment to a broader social need — housing and caring for elderly Americans [2]. This purpose has been lived out consistently for 34 years since 1992. The SHOP transformation deepens this alignment by shifting from passive landlord to active partner in resident care outcomes. Strategic decisions — investing over $1B in SHOP, divesting skilled nursing, building data capabilities — trace back to this purpose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co-president model with Clint Malin and Pam Kessler suggests a collaborative leadership philosophy that distributes authority, while Wendy Simpson's transition to Executive Chairman after 17 years preserves institutional knowledge [2]. LTC's approach of not 'over-managing' operating partners, instead using data to help partners make better decisions, reflects a trust-based model. However, limited employee data is available for a 25-person REIT, and the rapid transformation may create internal uncertainty.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LTC's competitive communications focus on growth execution, deal pipeline, and portfolio transformation metrics rather than explicitly acknowledging what it has learned from larger competitors like Welltower and Ventas [1]. The company positions its SHOP strategy as differentiated but does not publicly reference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SHOP transformation represents a fundamental reinvention of LTC's business model — from a passive triple-net lease REIT collecting predictable rent to an active senior housing operator managing resident fees, staffing, and occupancy [1]. This changes how LTC generates revenue, manages risk, and creates value. Revenue composition has shifted dramatically with SHOP contributing a growing majority of revenue in 2026. The pivot was driven by conviction that active management better serves the aging population, not by desperation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SHOP transformation is a genuinely courageous strategic bet — LTC is divesting established, predictable skilled nursing assets and investing over $1B in SHOP acquisitions, fundamentally changing its business model and risk profile [1]. This increases execution risk (SHOP requires operational expertise), reduces near-term earnings predictability, and requires 'substantial investment in people, systems and technology' [2]. The co-president structure prioritizes institutional capability over individual hero leadership — a distinctly infinite-game approach.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LTC Properties is executing a bold strategic transformation from triple-net lease REIT to active SHOP operator, capitalizing on what management calls the coming 'Golden Age' of senior living driven by baby boomer demographics [1]. Revenue grew 65.5% YoY (TTM) to $340M driven by SHOP resident fees, with earnings growth of 75% and Q4 2025 earnings up 96.4% YoY [3]. The company completed $353M in SHOP acquisitions in 2025 with 22% NOI growth, and targets $400-800M for 2026 to bring SHOP to 45% of investments and 40% of NOI [1]. The 5.36% dividend yield, monthly payment schedule, and 34-year consecutive payment track record (since 1992) provide reliable income, while the SHOP growth pivot offers upside potential. The Inspire Impact Score of 41 (ALIGNED) with seven positive attributions makes LTC an attractive option for faith-based investors in the senior care sector.</w:t>
      </w:r>
    </w:p>
    <w:p>
      <w:pPr>
        <w:spacing w:after="120"/>
      </w:pPr>
      <w:r>
        <w:rPr>
          <w:rFonts w:ascii="Calibri" w:hAnsi="Calibri"/>
          <w:b w:val="0"/>
          <w:color w:val="3A4A28"/>
          <w:sz w:val="20"/>
        </w:rPr>
        <w:t>The primary risk is execution on the SHOP transformation — LTC is fundamentally changing its business model from passive rent collection to active facility operations. Forward P/E of 27.0x is elevated relative to the triple-net REIT universe, reflecting growth expectations that must be delivered [3]. The payout ratio of 81.4% leaves limited cushion for distribution safety if SHOP execution falters, and the dividend has been flat at $2.28/year for five consecutive years (2021-2025), producing 0% dividend growth CAGR — a significant drag on the Infrastructure score. Healthcare REIT operational risks including labor shortages, occupancy sensitivity, and regulatory changes are amplified in the SHOP model where LTC bears operating risk rather than passing it to tenants. The company's small scale (~190 properties, 25 employees) compared to Welltower limits negotiating leverage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SHOP portfolio reaching 45% of gross investments by year-end 2026 through $400-800M in projected acquisitions, transforming the revenue mix toward higher-growth operating income from resident fees [1]</w:t>
      </w:r>
    </w:p>
    <w:p>
      <w:pPr>
        <w:spacing w:before="40" w:after="40"/>
        <w:ind w:left="283"/>
      </w:pPr>
      <w:r>
        <w:rPr>
          <w:rFonts w:ascii="Calibri" w:hAnsi="Calibri"/>
          <w:b/>
          <w:color w:val="4A6B25"/>
          <w:sz w:val="20"/>
        </w:rPr>
        <w:t xml:space="preserve">2. </w:t>
      </w:r>
      <w:r>
        <w:rPr>
          <w:rFonts w:ascii="Calibri" w:hAnsi="Calibri"/>
          <w:b w:val="0"/>
          <w:color w:val="3A4A28"/>
          <w:sz w:val="20"/>
        </w:rPr>
        <w:t>Baby boomer demographic tailwind creating structural demand growth for senior housing as the 80+ population accelerates — management's 'Golden Age' thesis supported by industry-wide occupancy recovery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 following the SHOP transformation as operating cash flows from resident fees exceed the flat $2.28/year paid since 2021, breaking a five-year growth drought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SHOP transformation execution risk — operating expenses for SHOP are fundamentally higher than triple-net, and failure to achieve target occupancy or control staffing costs could compress returns below triple-net alternatives [1]</w:t>
      </w:r>
    </w:p>
    <w:p>
      <w:pPr>
        <w:spacing w:before="40" w:after="40"/>
        <w:ind w:left="283"/>
      </w:pPr>
      <w:r>
        <w:rPr>
          <w:rFonts w:ascii="Calibri" w:hAnsi="Calibri"/>
          <w:b/>
          <w:color w:val="4A6B25"/>
          <w:sz w:val="20"/>
        </w:rPr>
        <w:t xml:space="preserve">2. </w:t>
      </w:r>
      <w:r>
        <w:rPr>
          <w:rFonts w:ascii="Calibri" w:hAnsi="Calibri"/>
          <w:b w:val="0"/>
          <w:color w:val="3A4A28"/>
          <w:sz w:val="20"/>
        </w:rPr>
        <w:t>Five consecutive years of flat dividend ($2.28/year) despite 65.5% revenue growth suggests management is reinvesting rather than returning capital — payout ratio of 81.4% provides limited cushion if SHOP performance falters</w:t>
      </w:r>
    </w:p>
    <w:p>
      <w:pPr>
        <w:spacing w:before="40" w:after="40"/>
        <w:ind w:left="283"/>
      </w:pPr>
      <w:r>
        <w:rPr>
          <w:rFonts w:ascii="Calibri" w:hAnsi="Calibri"/>
          <w:b/>
          <w:color w:val="4A6B25"/>
          <w:sz w:val="20"/>
        </w:rPr>
        <w:t xml:space="preserve">3. </w:t>
      </w:r>
      <w:r>
        <w:rPr>
          <w:rFonts w:ascii="Calibri" w:hAnsi="Calibri"/>
          <w:b w:val="0"/>
          <w:color w:val="3A4A28"/>
          <w:sz w:val="20"/>
        </w:rPr>
        <w:t>Small scale relative to Welltower and Ventas limits negotiating leverage and portfolio diversification — concentrated SHOP bets in specific geographies create outsized single-market exposure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Senior housing and health care real estate is a physical-world, human-care business that AI structurally cannot displace [1]. LTC's facilities require in-person caregiving, physical living spaces, daily assistance, medication management, and social interaction — none of which can be virtualized. The regulatory environment (state licensing, certificate-of-need requirements, CMS oversight) creates additional structural barriers. Demographics provide a durable demand tailwind as the baby boomer generation enters the 80+ age cohort, creating what management calls a coming 'Golden Age' for senior living [1]. However, AI does not directly increase demand for senior housing (unlike energy where AI drives consumption), limiting the score to 8. AI Opportunity (0/1): LTC is implementing AI-enabled workflow design for document review and operator analytics, but this is internal efficiency infrastructure, not AI revenue generation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LTC Properties Q4 2025 Results, 2026 Guidance, and SHOP Transformation Strategy — Senior Housing News, Morningstar, ir.ltcreit.com, February-May 2026</w:t>
      </w:r>
    </w:p>
    <w:p>
      <w:pPr>
        <w:spacing w:before="20" w:after="20"/>
        <w:ind w:left="170"/>
      </w:pPr>
      <w:r>
        <w:rPr>
          <w:rFonts w:ascii="Calibri" w:hAnsi="Calibri"/>
          <w:b/>
          <w:color w:val="4A6B25"/>
          <w:sz w:val="15"/>
        </w:rPr>
        <w:t xml:space="preserve">2. </w:t>
      </w:r>
      <w:r>
        <w:rPr>
          <w:rFonts w:ascii="Calibri" w:hAnsi="Calibri"/>
          <w:b w:val="0"/>
          <w:color w:val="3A4A28"/>
          <w:sz w:val="17"/>
        </w:rPr>
        <w:t>LTC Properties Leadership and AI Strategy — CEO Wendy Simpson (Executive Chairman), Co-President Clint Malin, AI-Enabled Workflow Design — ltcreit.com, Craft.co,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LTC Key Statistics: P/E 15.2, Forward P/E 27.0, D/E 58.1%, ROE 11.8%, Dividend Yield 5.36%,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