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LTRX</w:t>
      </w:r>
      <w:r>
        <w:rPr>
          <w:rFonts w:ascii="Calibri" w:hAnsi="Calibri"/>
          <w:b/>
          <w:color w:val="1A2010"/>
          <w:sz w:val="40"/>
        </w:rPr>
        <w:t xml:space="preserve">  Lantronix, Inc.</w:t>
      </w:r>
    </w:p>
    <w:p>
      <w:pPr>
        <w:spacing w:after="120"/>
      </w:pPr>
      <w:r>
        <w:rPr>
          <w:rFonts w:ascii="Calibri" w:hAnsi="Calibri"/>
          <w:b/>
          <w:color w:val="6E8450"/>
          <w:sz w:val="18"/>
        </w:rPr>
        <w:t>GROWTH SLEEVE · 2026-10-02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NCM · United States</w:t>
      </w:r>
    </w:p>
    <w:p>
      <w:pPr>
        <w:spacing w:after="80"/>
      </w:pPr>
      <w:r>
        <w:rPr>
          <w:rFonts w:ascii="Calibri" w:hAnsi="Calibri"/>
          <w:b w:val="0"/>
          <w:color w:val="3A4A28"/>
          <w:sz w:val="20"/>
        </w:rPr>
        <w:t>Lantronix develops, markets, and sells industrial and enterprise IoT Edge Intelligence solutions including embedded compute modules, IoT system solutions (gateways, out-of-band management), and software services for unmanned systems, defense, transportation, and smart infrastructure applications. FY2026 revenue was $120.9M (8% organic growth excluding Gridspertise divestiture) with 43.8% gross margin and non-GAAP EPS of $0.15 (up 300% YoY). The company ended FY2026 with over $60M in cash and no debt. Founded in 1989, headquartered in Irvine, California.</w:t>
      </w:r>
    </w:p>
    <w:p>
      <w:r>
        <w:rPr>
          <w:rFonts w:ascii="Calibri" w:hAnsi="Calibri"/>
          <w:b/>
          <w:color w:val="6E8450"/>
          <w:sz w:val="18"/>
        </w:rPr>
        <w:t>327 Employees · https://www.lantronix.com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Awsare (since November 2023), Lantronix expanded into unmanned systems and drone computing, with unmanned systems revenue reaching $12.6M in FY2026, up 34% YoY, and divested the non-core Gridspertise business to sharpen strategic focus [1]. However, total revenue has remained roughly flat around $120M, and these are incremental extensions rather than transformative pivots. AI Deployment (1/2): Lantronix brands its products as 'Edge AI Intelligence' and ships embedded compute modules enabling on-device AI processing for industrial and defense applications, with unmanned systems providing the most quantifiable AI-adjacent metric at $12.6M FY2026 revenue [1]. However, no specific AI-driven cost savings or internal efficiency gains have been reported. Market Share (0/2): Lantronix is a micro-cap ($331M market cap) in the massive IoT ecosystem competing against Cisco, Sierra Wireless/Semtech, and Digi International — no evidence of category leadership or meaningful share gains [2]. Product Pipeline (1/2): Unmanned systems revenue expected to exceed $25M and represent 15-20% of total revenue in FY2027, with management guiding to double-digit overall revenue growth and Q1 FY2027 revenue of $31-33M [1]. R&amp;D Intensity (1/1): As a 327-employee technology company focused on IoT innovation, R&amp;D spending is central to the business model with dedicated engineering leadership and CEO from Synaptics background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Lantronix's stated purpose is enabling organizations to 'digitally transform, evolve and make decisions that spur their growth' through IoT Edge Intelligence — clear and identifies the customer benefit but functionally interchangeable with dozens of IoT peers and does not articulate a deeper purpose beyond the obvious [2]. Community Impact (0/2): No evidence of a charitable foundation, specific dollar commitments, or distinctive community investment programs beyond standard corporate citizenship disclosures in SEC filings [3]. Employee Retention (1/2): CEO Awsare won 'IoT Company CEO of the Year' at the 2025 IoT Breakthrough Awards, and Lantronix describes its culture as entrepreneurial with minimal management layers and open communication [2]. However, Glassdoor shows only 56% of employees would recommend the company, with mixed reviews noting some employees feel the C-Suite 'lacks vision and ability to get it done.' Insider Buying (0/2): Net insider selling in 2026 — no meaningful open-market purchases by executives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Lantronix's balance sheet is exceptionally clean — the company ended FY2026 with over $60M in cash and no debt, yielding a D/E of just 6.95% (score 1.0) [1]. Forward P/E of 22.06 scores 0.95 against the 20 target, and PEG of 0.91 is attractively below the 1.0 target (score 1.0, 2x weight), reflecting strong growth expectations relative to valuation. Organic revenue growth of 8% (excluding Gridspertise divestiture) scores 0.93 against the 10% target, and the 5-year revenue CAGR of approximately 8% scores 0.87 (2x weight) [1]. The primary drags are negative ROE of -4.3% (score 0.0, 2x weight) reflecting the GAAP net loss of -$4.2M, and negative profit margin of -3.5% (score 0.0). Non-GAAP EPS of $0.15 for FY2026 (up 300% YoY) signals the company is approaching profitability. Daily dollar volume of $7.2M provides adequate liquidity above the $1M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Lantronix operates with a predominantly finite mindset. Under CEO Awsare (since November 2023), the company has pursued pragmatic growth through market repositioning and the unmanned systems opportunity rather than articulating a compelling long-term cause. Strategic decisions are revenue-driven — entering the drone market for its growth profile, divesting Gridspertise for focus. The company's small size limits organizational depth, and while the culture is described as entrepreneurial, there is no evidence of the kind of purpose-driven endurance that characterizes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Lantronix's purpose of enabling 'IoT Edge Intelligence' is a market description, not a Just Cause in Sinek's framework. The company exists to sell IoT products, and while edge computing serves real needs in defense, transportation, and smart infrastructure, there is no articulated vision of a better future that transcends quarterly revenue targets [2]. The CEO pivot since 2023 has been effective operationally but driven by market opportunity rather than an enduring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Lantronix describes its culture as entrepreneurial with minimal management layers, open communication, and collaboration — positive signals for a small 327-employee organization [2]. CEO Awsare's IoT CEO of the Year recognition suggests positive external leadership perception. However, with a CEO tenure of less than 3 years, the organizational culture is still being established, and Glassdoor shows only 56% would recommend the company, with some reviews noting C-Suite leadership concerns.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Lantronix frames competition in terms of self-improvement or learning from rivals' strengths. The company's positioning focuses on market opportunity and product differentiation rather than acknowledging Digi International, Sierra Wireless/Semtech, or larger IoT platform providers as worthy rivals whose strengths push improvement. Competitive discourse is standard market-positioning language.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Lantronix has incrementally evolved from a serial device connectivity company to an IoT Edge AI platform through acquisitions (NetComm, Transition Networks) and the strategic pivot into unmanned systems computing [1]. The Gridspertise divestiture showed willingness to exit a business line for strategic focus. These are meaningful but incremental adaptations — not transformative reinventions that redefined the company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Awsare has made strategic bets since joining — significantly growing unmanned systems revenue to $12.6M (up 34% YoY), divesting non-core Gridspertise, and guiding to double-digit revenue growth in FY2027 [1]. The decision to build $60M in cash reserves while investing in edge AI products shows disciplined capital allocation. However, these are rational business decisions with clear ROI potential, not costly principled stands that sacrifice near-term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Lantronix at $7.06 is a micro-cap IoT Edge Intelligence company showing strategic clarity under CEO Awsare. FY2026 delivered $120.9M revenue (8% organic growth) with 43.8% gross margin and non-GAAP EPS of $0.15 (up 300% YoY), while GAAP net loss narrowed dramatically from -$11.4M to -$4.2M [1]. The unmanned systems segment is the growth engine at $12.6M revenue (up 34% YoY), expected to exceed $25M and represent 15-20% of total revenue in FY2027. The balance sheet is pristine with over $60M cash, no debt, and D/E of just 7%, providing a substantial cushion for a $331M market cap company. At a PEG of 0.91 and Forward P/E of 22x, the stock is attractively priced for the expected profitability inflection [1].</w:t>
      </w:r>
    </w:p>
    <w:p>
      <w:pPr>
        <w:spacing w:after="120"/>
      </w:pPr>
      <w:r>
        <w:rPr>
          <w:rFonts w:ascii="Calibri" w:hAnsi="Calibri"/>
          <w:b w:val="0"/>
          <w:color w:val="3A4A28"/>
          <w:sz w:val="20"/>
        </w:rPr>
        <w:t>The bear case centers on persistent GAAP unprofitability and scale disadvantage. Despite improvement, Lantronix reported a net loss of -$4.2M in FY2026 with -3.5% profit margin, and the company has not achieved sustained GAAP profitability [1]. At 327 employees and $121M revenue, Lantronix lacks the R&amp;D scale to compete with tech giants (AWS IoT, Cisco, Qualcomm) moving aggressively into edge AI, and a single competitive product cycle could compress margins. The unmanned systems growth story, while compelling, depends on defense spending cycles and government contract timing that create revenue lumpiness. Glassdoor reviews are mixed at 56% recommend, with some employees questioning C-Suite vision and execution ability [2]. Management's FY2027 guidance of double-digit growth and $31-33M Q1 revenue is encouraging but unproven under Awsare's young tenure.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Unmanned systems revenue expected to more than double to $25M+ in FY2027, representing 15-20% of total revenue, driven by expanding defense and commercial drone demand for edge AI compute platforms [1]</w:t>
      </w:r>
    </w:p>
    <w:p>
      <w:pPr>
        <w:spacing w:before="40" w:after="40"/>
        <w:ind w:left="283"/>
      </w:pPr>
      <w:r>
        <w:rPr>
          <w:rFonts w:ascii="Calibri" w:hAnsi="Calibri"/>
          <w:b/>
          <w:color w:val="4A6B25"/>
          <w:sz w:val="20"/>
        </w:rPr>
        <w:t xml:space="preserve">2. </w:t>
      </w:r>
      <w:r>
        <w:rPr>
          <w:rFonts w:ascii="Calibri" w:hAnsi="Calibri"/>
          <w:b w:val="0"/>
          <w:color w:val="3A4A28"/>
          <w:sz w:val="20"/>
        </w:rPr>
        <w:t>Path to sustained GAAP profitability as non-GAAP EPS of $0.15 (up 300% YoY) and GAAP loss narrowing from -$11.4M to -$4.2M signal approaching breakeven, with management guiding to double-digit revenue growth in FY2027 [1]</w:t>
      </w:r>
    </w:p>
    <w:p>
      <w:pPr>
        <w:spacing w:before="40" w:after="40"/>
        <w:ind w:left="283"/>
      </w:pPr>
      <w:r>
        <w:rPr>
          <w:rFonts w:ascii="Calibri" w:hAnsi="Calibri"/>
          <w:b/>
          <w:color w:val="4A6B25"/>
          <w:sz w:val="20"/>
        </w:rPr>
        <w:t xml:space="preserve">3. </w:t>
      </w:r>
      <w:r>
        <w:rPr>
          <w:rFonts w:ascii="Calibri" w:hAnsi="Calibri"/>
          <w:b w:val="0"/>
          <w:color w:val="3A4A28"/>
          <w:sz w:val="20"/>
        </w:rPr>
        <w:t>Pristine balance sheet with $60M+ cash, no debt, and D/E of 7% provides strategic flexibility for M&amp;A, product development, or opportunistic share repurchases at a $331M market cap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(-3.5% margin) with -$4.2M TTM net loss creates risk of dilutive capital raises or strategic alternatives if the profitability inflection does not materialize by FY2027 [1]</w:t>
      </w:r>
    </w:p>
    <w:p>
      <w:pPr>
        <w:spacing w:before="40" w:after="40"/>
        <w:ind w:left="283"/>
      </w:pPr>
      <w:r>
        <w:rPr>
          <w:rFonts w:ascii="Calibri" w:hAnsi="Calibri"/>
          <w:b/>
          <w:color w:val="4A6B25"/>
          <w:sz w:val="20"/>
        </w:rPr>
        <w:t xml:space="preserve">2. </w:t>
      </w:r>
      <w:r>
        <w:rPr>
          <w:rFonts w:ascii="Calibri" w:hAnsi="Calibri"/>
          <w:b w:val="0"/>
          <w:color w:val="3A4A28"/>
          <w:sz w:val="20"/>
        </w:rPr>
        <w:t>Micro-cap scale ($331M market cap, 327 employees) leaves Lantronix vulnerable to competitive pressure from tech giants entering edge AI with vastly superior R&amp;D budgets and platform ecosystems [2]</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unmanned systems growth — defense spending is cyclical and government contract timing could create significant revenue lumpiness as this segment grows to 15-20% of total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Lantronix's core business involves physical hardware manufacturing — embedded compute modules, IoT gateways, and out-of-band management appliances — that AI cannot substitute [1]. Industrial IoT deployments require domain-specific integration, ruggedized hardware, and physical installation that creates switching costs. Edge computing hardware is actually a beneficiary of AI growth, as on-device AI processing requires capable edge hardware. However, Lantronix's software and device management platform could face competitive pressure from larger cloud providers (AWS IoT, Azure IoT) bundling AI-powered management tools, and at $121M revenue and $331M market cap, Lantronix lacks the scale to compete on R&amp;D with tech giants entering edge AI [2]. AI Opportunity (1/1): Lantronix generates quantifiable AI-related revenue through its unmanned systems computing platform ($12.6M in FY2026, up 34% YoY), with this segment expected to exceed $25M and represent 15-20% of total revenue in FY2027 — directly enabling edge AI processing for defense and commercial autonomous systems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Lantronix FY2026 Q4 and Full-Year Earnings — $120.9M Revenue (+8% Organic), Non-GAAP EPS $0.15 (+300% YoY), Unmanned Systems $12.6M (+34%), $60M+ Cash,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Lantronix Leadership, Culture, and AI Strategy — CEO Saleel Awsare IoT CEO of the Year 2025, Edge AI Intelligence Products, Glassdoor Reviews (56% Recommend), Glassdoor and Lantronix.com, 2025-2026</w:t>
      </w:r>
    </w:p>
    <w:p>
      <w:pPr>
        <w:spacing w:before="20" w:after="20"/>
        <w:ind w:left="170"/>
      </w:pPr>
      <w:r>
        <w:rPr>
          <w:rFonts w:ascii="Calibri" w:hAnsi="Calibri"/>
          <w:b/>
          <w:color w:val="4A6B25"/>
          <w:sz w:val="15"/>
        </w:rPr>
        <w:t xml:space="preserve">3. </w:t>
      </w:r>
      <w:r>
        <w:rPr>
          <w:rFonts w:ascii="Calibri" w:hAnsi="Calibri"/>
          <w:b w:val="0"/>
          <w:color w:val="3A4A28"/>
          <w:sz w:val="17"/>
        </w:rPr>
        <w:t>Lantronix ESG Disclosures — SEC 10-K FY2026, Environmental and Social Risk Factors, SEC.gov,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