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LUMN</w:t>
      </w:r>
      <w:r>
        <w:rPr>
          <w:rFonts w:ascii="Calibri" w:hAnsi="Calibri"/>
          <w:b/>
          <w:color w:val="1A2010"/>
          <w:sz w:val="40"/>
        </w:rPr>
        <w:t xml:space="preserve">  Lumen Technologies, Inc.</w:t>
      </w:r>
    </w:p>
    <w:p>
      <w:pPr>
        <w:spacing w:after="120"/>
      </w:pPr>
      <w:r>
        <w:rPr>
          <w:rFonts w:ascii="Calibri" w:hAnsi="Calibri"/>
          <w:b/>
          <w:color w:val="6E8450"/>
          <w:sz w:val="18"/>
        </w:rPr>
        <w:t>GROWTH SLEEVE · 2026-10-04 · Inspire: -75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Telecom Services · NYSE · United States</w:t>
      </w:r>
    </w:p>
    <w:p>
      <w:pPr>
        <w:spacing w:after="80"/>
      </w:pPr>
      <w:r>
        <w:rPr>
          <w:rFonts w:ascii="Calibri" w:hAnsi="Calibri"/>
          <w:b w:val="0"/>
          <w:color w:val="3A4A28"/>
          <w:sz w:val="20"/>
        </w:rPr>
        <w:t>Lumen Technologies is a multinational networking company operating one of the largest and most interconnected fiber networks in the world with 400,000+ route miles. The company is pivoting from legacy telecom to AI-era network infrastructure under CEO Kate Johnson (since November 2022), anchored by Private Connectivity Fabric (PCF) — a modular architecture serving hyperscaler AI data center customers — with nearly $13B in total contract value [1][3]. Strategic revenue grew 14% YoY in Q2 2026 to 53% of total business revenue, but total revenue declined 9.3% to $2.805B as legacy services wind down. Adding 34 million new fiber miles by 2028. Market cap ~$5.9B.</w:t>
      </w:r>
    </w:p>
    <w:p>
      <w:r>
        <w:rPr>
          <w:rFonts w:ascii="Calibri" w:hAnsi="Calibri"/>
          <w:b/>
          <w:color w:val="6E8450"/>
          <w:sz w:val="18"/>
        </w:rPr>
        <w:t>24,000 Employees · https://www.lumen.com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Under CEO Kate Johnson, Lumen executed a dramatic strategic pivot from legacy telecom to AI-era network infrastructure [2]. Private Connectivity Fabric — a modular architecture allowing hyperscalers to lease dark fiber routes and light them with custom hardware — has attracted nearly $13B in total contract value [3]. Strategic revenue grew 14% YoY in Q2 2026 and now represents 53% of total business revenue, up from 45% a year ago [1]. This represents a genuinely significant business model transformation, though overall revenue continues declining. AI Deployment (1/2): Lumen's PCF and dark fiber services directly support AI data center connectivity for hyperscalers [3]. High-bandwidth 100 and 400 gig wave services are specifically designed for AI workload requirements. However, Lumen sells physical infrastructure enabling AI, not AI-powered products themselves. Market Share (1/2): Lumen carries a significant portion of global internet traffic and has unique intercity fiber assets, but is not the dominant enterprise telecom leader versus AT&amp;T and Verizon [3]. Meaningful player with differentiated assets. Product Pipeline (1/2): 34 million new fiber miles under construction by end of 2028, expanding total intercity and metro fiber to 47 million miles [3]. PCF architecture continues attracting hyperscaler contracts. Specific timelines and investment levels identified. R&amp;D Intensity (0/1): No evidence of R&amp;D spending above industry average. Capital expenditure focuses on network expansion rather than traditional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Kate Johnson's vision of 'revolutionizing telecom for the AI era' is specific and thoughtful — connecting Lumen's work to the broader technological transformation with 'the networks of yesterday simply do not serve the AI needs of tomorrow' [2]. This differentiates from generic telecom purpose statements. However, the vision dates only to 2022 and has not been validated through decades of consistent execution. Community Impact (0/2): Lumen achieved 25% reduction in Scope 1&amp;2 emissions through 2022 [3], but faces a class action lawsuit alleging failure to disclose environmental and health risks from thousands of miles of lead-covered cables [3]. No distinctive philanthropic programs or community investment dollar amounts identified. Employee Retention (0/2): No specific employee retention data. The company has undergone massive restructuring, divestiture of ILEC operations to Brightspeed, and headcount reductions from 40,000+ to approximately 24,000 that likely impact engagement. Glassdoor shows 55% recommendation rate and 3.4/5 culture score [2]. Insider Buying (2/2): CEO Kate Johnson purchased 100,000 shares at $6.13 per share ($613,000) in August 2026, adding to a multi-million dollar pattern of insider buying [2]. Several value-oriented hedge funds have taken new positions in LUMN, partly attracted by the CEO's repeated personal investment. Meaningful, repeated insider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and ROE are both unavailable from yfinance due to negative stockholders' equity and excluded per algorithm [4]. Revenue declined -9.3% YoY in Q2 2026 ($2.81B versus $3.09B prior year), scoring 0.36 above the -20% floor [1]. Five-year revenue CAGR of approximately -10.5% is below the -5% floor, scoring 0 [1]. Forward P/E of -19.4x reflects expected continued losses (forward EPS -$0.30), scoring 0 [4]. Net profit margin of -8.65% is below the 0% floor, scoring 0 [4]. PEG ratio of 17.14 far exceeds the 3.0 floor, scoring 0. The only metric contributing positive score is revenue growth YoY at 0.36. Lumen carries $13.5B in debt against $1.9B cash. The company does not pay a dividend (suspended in 2022). Liquidity passes at $72.7M daily dollar volume (12.6M shares x $5.75).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Lumen under Kate Johnson demonstrates striking infinite game characteristics: a genuine transformation vision, pattern of courageous decisions including personal share purchases at depressed prices, and existential flexibility in pivoting from legacy telecom to AI infrastructure. However, the organization has been through massive disruption — divestitures, layoffs, dividend suspension — that has damaged trust. The Just Cause is compelling but untested through decades of consistency. Sinek would be cautiously optimistic: the right mindset is emerging but the transformation remains unproven.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Kate Johnson's vision of 'revolutionizing telecom for the AI era' is genuine, specific, and connects Lumen's work to the broader transformation of computing and communication [2][3]. The belief that 'the networks of yesterday simply do not serve the AI needs of tomorrow' articulates a future state and invites others to contribute. The company's strategic repositioning — from legacy telecom to AI infrastructure — is guided by this vision. However, the cause dates only to 2022 and has not been tested through leadership transitions, market crises, or multi-decade consistency.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Lumen has undergone massive organizational upheaval: divesting ILEC operations covering 20 states to Brightspeed, suspending the dividend in 2022, reducing headcount from 40,000+ to approximately 24,000, and executing a radical cost-cutting reset [2]. Glassdoor reviews reveal mixed trust signals — 55% recommendation rate, 3.4/5 culture score, and employees reporting leadership says people are the foundation then lays them off [2]. While strategically necessary, these actions create an environment antithetical to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publicly acknowledging AT&amp;T, Verizon, or other telecom competitors as worthy rivals whose strengths motivate improvement. Competitive language focuses on Lumen's unique fiber assets and transformation journey rather than learning from competitors' strengths.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Lumen's transformation is a textbook example of Sinek's existential flexibility — fundamentally reinventing from a declining legacy telecom (CenturyLink: voice, private line, copper) into an AI-era fiber infrastructure company [2][3]. The reset involved divesting legacy ILEC operations, paying off $4.8B in high-interest debt, suspending the dividend, and pivoting the entire commercial strategy toward hyperscaler AI connectivity. The $13B in PCF contracts validates the pivot. This is precisely the painful, business-destroying transformation Sinek envisions.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Kate Johnson has demonstrated a pattern of courageous leadership decisions since November 2022 [2]. She inherited a company with $20B in debt, declining revenue, and a suspended dividend, and executed a series of painful but strategically correct moves: divesting ILEC operations, using proceeds to pay off $4.8B in high-interest debt, pivoting commercial strategy to AI infrastructure, and personally buying 100,000 shares at $6.13 in August 2026 [2]. The willingness to bet personal capital on a deeply troubled turnaround — backed by $13B in PCF contracts and 34M new fiber miles — represents exactly the leadership courage Sinek describes.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Lumen Technologies is executing one of telecom's most compelling turnarounds: strategic revenue grew 14% YoY in Q2 2026 to 53% of total business revenue, driven by nearly $13B in Private Connectivity Fabric contracts serving hyperscaler AI data centers [1][3]. CEO Kate Johnson's reset strategy has delevered the balance sheet from $20B to $13.5B in debt, pivoted commercial strategy to AI infrastructure, and attracted value-oriented fund positioning [2]. The company is adding 34 million new fiber miles by 2028, targeting the massive expansion of intercity and metro connectivity needed for AI workloads [3]. CEO insider buying ($613K in August 2026) signals management conviction. Free cash flow improved dramatically to $327M from -$209M in Q2 2025 [1]. At $5.75 with a $5.9B market cap, the stock trades at a fraction of contracted future revenue alone.</w:t>
      </w:r>
    </w:p>
    <w:p>
      <w:pPr>
        <w:spacing w:after="120"/>
      </w:pPr>
      <w:r>
        <w:rPr>
          <w:rFonts w:ascii="Calibri" w:hAnsi="Calibri"/>
          <w:b w:val="0"/>
          <w:color w:val="3A4A28"/>
          <w:sz w:val="20"/>
        </w:rPr>
        <w:t>The bear case is formidable: total revenue declined 9.3% YoY in Q2 2026 as legacy voice and private line revenue fell approximately 15%, far exceeding the 14% strategic growth [1]. Forward P/E is -19.4x reflecting expected continued losses (forward EPS -$0.30), net profit margin is -8.65%, and D/E is incalculable due to negative equity [4]. Five-year revenue CAGR of -10.5% underscores the depth of legacy decline that strategic growth must overcome. The dividend was suspended in 2022 with no reinstatement timeline. A class action lawsuit alleging environmental and health risks from lead-covered cables creates material litigation liability [3]. The $13B in PCF contracts is total contract value over multi-year terms, not annual revenue, and recognition timeline remains uncertain. Competition from AT&amp;T, Verizon, and hyperscalers building proprietary networks could compress margins on new contracts. Stock has fallen 14% from $6.70 to $5.75 since the August report, suggesting the market remains skeptical of the transformation timeline.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Strategic revenue crossing 53% of total business and growing 14% YoY could reach inflection point in 2027 where total revenue stops declining, as legacy wind-down moderates and PCF contract revenue accelerates [1]</w:t>
      </w:r>
    </w:p>
    <w:p>
      <w:pPr>
        <w:spacing w:before="40" w:after="40"/>
        <w:ind w:left="283"/>
      </w:pPr>
      <w:r>
        <w:rPr>
          <w:rFonts w:ascii="Calibri" w:hAnsi="Calibri"/>
          <w:b/>
          <w:color w:val="4A6B25"/>
          <w:sz w:val="20"/>
        </w:rPr>
        <w:t xml:space="preserve">2. </w:t>
      </w:r>
      <w:r>
        <w:rPr>
          <w:rFonts w:ascii="Calibri" w:hAnsi="Calibri"/>
          <w:b w:val="0"/>
          <w:color w:val="3A4A28"/>
          <w:sz w:val="20"/>
        </w:rPr>
        <w:t>Nearly $13B in Private Connectivity Fabric contract value providing multi-year revenue visibility as hyperscaler AI data center demand drives unprecedented fiber network expansion with 34M new fiber miles by 2028 [3]</w:t>
      </w:r>
    </w:p>
    <w:p>
      <w:pPr>
        <w:spacing w:before="40" w:after="40"/>
        <w:ind w:left="283"/>
      </w:pPr>
      <w:r>
        <w:rPr>
          <w:rFonts w:ascii="Calibri" w:hAnsi="Calibri"/>
          <w:b/>
          <w:color w:val="4A6B25"/>
          <w:sz w:val="20"/>
        </w:rPr>
        <w:t xml:space="preserve">3. </w:t>
      </w:r>
      <w:r>
        <w:rPr>
          <w:rFonts w:ascii="Calibri" w:hAnsi="Calibri"/>
          <w:b w:val="0"/>
          <w:color w:val="3A4A28"/>
          <w:sz w:val="20"/>
        </w:rPr>
        <w:t>Free cash flow improvement from -$209M to +$327M in Q2 2026 demonstrates early financial viability — sustained positive FCF could enable continued deleveraging from the $13.5B debt load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Legacy voice and private line revenue declining at ~15% annually could overwhelm the 14% strategic growth rate for multiple additional quarters, extending total revenue contraction and net losses beyond 2027 [1]</w:t>
      </w:r>
    </w:p>
    <w:p>
      <w:pPr>
        <w:spacing w:before="40" w:after="40"/>
        <w:ind w:left="283"/>
      </w:pPr>
      <w:r>
        <w:rPr>
          <w:rFonts w:ascii="Calibri" w:hAnsi="Calibri"/>
          <w:b/>
          <w:color w:val="4A6B25"/>
          <w:sz w:val="20"/>
        </w:rPr>
        <w:t xml:space="preserve">2. </w:t>
      </w:r>
      <w:r>
        <w:rPr>
          <w:rFonts w:ascii="Calibri" w:hAnsi="Calibri"/>
          <w:b w:val="0"/>
          <w:color w:val="3A4A28"/>
          <w:sz w:val="20"/>
        </w:rPr>
        <w:t>Negative equity, $13.5B in debt, and -8.65% profit margin create severe refinancing risk if credit markets tighten or credit rating is downgraded — forward EPS of -$0.30 means profitability remains elusive [4]</w:t>
      </w:r>
    </w:p>
    <w:p>
      <w:pPr>
        <w:spacing w:before="40" w:after="40"/>
        <w:ind w:left="283"/>
      </w:pPr>
      <w:r>
        <w:rPr>
          <w:rFonts w:ascii="Calibri" w:hAnsi="Calibri"/>
          <w:b/>
          <w:color w:val="4A6B25"/>
          <w:sz w:val="20"/>
        </w:rPr>
        <w:t xml:space="preserve">3. </w:t>
      </w:r>
      <w:r>
        <w:rPr>
          <w:rFonts w:ascii="Calibri" w:hAnsi="Calibri"/>
          <w:b w:val="0"/>
          <w:color w:val="3A4A28"/>
          <w:sz w:val="20"/>
        </w:rPr>
        <w:t>Class action lawsuit alleging undisclosed environmental and health risks from lead-covered cables creates material litigation liability and reputational damage that could distract from and financially burden the transformation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Lumen's fiber network infrastructure is physical and cannot be replaced by AI — dark fiber, intercity backbone, and metro connectivity are the physical layer upon which AI operates [3]. AI data centers cannot function without the connectivity Lumen provides, and nearly $13B in PCF contracts from hyperscalers validates this demand [3]. Strategic revenue growing 14% YoY is driven directly by AI-related demand for high-bandwidth 100 and 400 gig wave services [1]. However, legacy telecom business (voice, private line) is declining at ~15% annually, and while this decline is secular rather than AI-driven, it represents a meaningful portion of current revenue that AI does not protect. AI Opportunity (1/1): Lumen generates meaningful AI-related revenue through PCF contracts serving hyperscaler data centers. Nearly $13B in total contract value is directly tied to AI infrastructure connectivity [3]. Strategic revenue reached 53% of total business revenue in Q2 2026, with growth specifically driven by AI workload demand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-75</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r>
        <w:rPr>
          <w:rFonts w:ascii="Calibri" w:hAnsi="Calibri"/>
          <w:b w:val="0"/>
          <w:color w:val="9DAF88"/>
          <w:sz w:val="17"/>
        </w:rPr>
        <w:t xml:space="preserve">  ·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Lumen Technologies Q2 2026 Earnings Release — Total Revenue $2.805B (-9.3% YoY), Strategic Revenue 53% of Business (+14% YoY), FCF $327M, ir.lumen.com, August 2026</w:t>
      </w:r>
    </w:p>
    <w:p>
      <w:pPr>
        <w:spacing w:before="20" w:after="20"/>
        <w:ind w:left="170"/>
      </w:pPr>
      <w:r>
        <w:rPr>
          <w:rFonts w:ascii="Calibri" w:hAnsi="Calibri"/>
          <w:b/>
          <w:color w:val="4A6B25"/>
          <w:sz w:val="15"/>
        </w:rPr>
        <w:t xml:space="preserve">2. </w:t>
      </w:r>
      <w:r>
        <w:rPr>
          <w:rFonts w:ascii="Calibri" w:hAnsi="Calibri"/>
          <w:b w:val="0"/>
          <w:color w:val="3A4A28"/>
          <w:sz w:val="17"/>
        </w:rPr>
        <w:t>Lumen Technologies CEO Kate Johnson Leadership, AI Pivot, and Insider Buying — Fortune, SeekingAlpha,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Lumen Technologies AI-Era Transformation, PCF Strategy, $13B Contract Value, Lead Cable Class Action, ESG Reports — ir.lumen.com, Investing.com, 2023-2026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LUMN Key Statistics: Forward P/E -19.4x, Profit Margin -8.65%, Market Cap $5.9B, Avg Volume 12.6M, PEG 17.14,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