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LXEH</w:t>
      </w:r>
      <w:r>
        <w:rPr>
          <w:rFonts w:ascii="Calibri" w:hAnsi="Calibri"/>
          <w:b/>
          <w:color w:val="1A2010"/>
          <w:sz w:val="40"/>
        </w:rPr>
        <w:t xml:space="preserve">  Lixiang Education Holding Co., Ltd.</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NASDAQ · China</w:t>
      </w:r>
    </w:p>
    <w:p>
      <w:pPr>
        <w:spacing w:after="80"/>
      </w:pPr>
      <w:r>
        <w:rPr>
          <w:rFonts w:ascii="Calibri" w:hAnsi="Calibri"/>
          <w:b w:val="0"/>
          <w:color w:val="3A4A28"/>
          <w:sz w:val="20"/>
        </w:rPr>
        <w:t>Lixiang Education Holding Co., Ltd. provides private high school and vocational education services in China through schools including Qingtian International School, Lishui International School, Langfang School, and Hainan Jiangcai. The company also offers HR services including labor dispatch, recruitment process outsourcing, flexible employment, and healthcare support services. Formerly known as Lianwai Education Group, renamed in May 2020. Founded 2001, headquartered in Lishui, China. Market cap approximately $3.4M with 187 employees. Executed a 1-for-10 reverse stock split in 2026.</w:t>
      </w:r>
    </w:p>
    <w:p>
      <w:r>
        <w:rPr>
          <w:rFonts w:ascii="Calibri" w:hAnsi="Calibri"/>
          <w:b/>
          <w:color w:val="6E8450"/>
          <w:sz w:val="18"/>
        </w:rPr>
        <w:t>187 Employees · https://www.lixiangeh.com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Lixiang Education operates traditional K-12 and vocational schools in China with no meaningful product launches or business model transformations in the last five years [1]. The company's expansion into healthcare support services and HR outsourcing (labor dispatch, recruitment, flexible employment) represents one modest adjacency extension, earning 1 point, but these services have not yet transformed the business [1]. AI Deployment (0/2): No evidence of any AI deployment, AI-powered educational tools, or measurable AI-related outcomes. The company operates traditional classroom-based education with no technology platform [2]. Market Share (0/2): Lixiang is a micro-cap participant in China's fragmented private education market with no share differentiation or category leadership, operating just four schools with $30.7M trailing revenue and a $3.4M market cap [1]. Product Pipeline (0/2): No visible product pipeline or next-generation services announced with specific timelines. Healthcare support services remain nascent with no disclosed revenue targets [1]. R&amp;D Intensity (0/1): No R&amp;D spending reported; the company does not appear to invest in research and development at any meaningful level.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Lixiang Education's mission focuses on providing high-quality education and fostering a supportive environment to prepare students for success in a globalized world — clear and identifies an education purpose but generic and interchangeable with any private school operator [2]. The emphasis on 'globalized world' preparation reflects some intentionality about international positioning. Community Impact (0/2): No evidence of charitable programs, foundation, or community investment beyond the core educational services the company sells [3]. Employee Retention (0/2): No public data on employee culture, turnover, or organizational sentiment. The company has 187 full-time employees across school campuses and service operations with no Glassdoor or equivalent data available [2]. Insider Buying (0/2): CEO Wei Biao's insider transaction data is not accessible through standard U.S. reporting channels for this VIE-structured Chinese ADR. No evidence of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508,585 shares x $1.79 stock price = $910,367 daily dollar volume, below the $1,000,000 minimum threshold [1]. The company narrowly regained compliance with Nasdaq's minimum market value rules in 2026 after executing a 1-for-10 reverse split, but remains at risk with a market cap of only $3.4M [3]. Even without the liquidity floor, fundamentals are poor: ROE of -57.7% is deeply negative (scores 0), profit margin is 0.0% (scores 0), revenue is declining at -0.8% YoY, and no forward earnings estimates exist [1]. The one reasonable metric is D/E of 67.0%, below the 70% target, but this cannot offset the fundamentally unprofitable business. Total debt of $94.9M against only $9.4M cash raises going-concern questions.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Lixiang Education operates in survival mode — the company's primary strategic concern is maintaining Nasdaq listing compliance and financial viability rather than advancing an enduring educational mission. The $3.4M market cap, declining profitability, and deeply negative ROE indicate a business fighting for existence, which is the definitional opposite of infinite-game thinking. Some incremental flexibility in entering adjacent markets (HR services, healthcare) earns limited credit, but no evidence of courageous leadership or organizational trust exists.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purpose of providing quality education is inherently cause-oriented, connecting the company's work to human development. Lixiang has operated schools since 2001, demonstrating some institutional persistence through China's education regulatory upheavals [2]. However, there is no evidence this cause drives strategic decisions — management focus is on Nasdaq compliance, financial survival, and basic operational continuity [3]. The cause reads as a sector descriptor rather than a galvanizing vision.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 data on employee culture, turnover, or organizational trust available for this micro-cap Chinese education company [2]. The company operates 187 employees across school campuses and service operations. Financial distress — with deeply negative ROE of -57.7% and near-delisting episodes — creates an environment of uncertainty that undermines organizational trust. No Glassdoor reviews or employee sentiment data were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or learning from competitors. Lixiang competes with numerous private and public education providers in China's fragmented market, but public disclosures show no competitive intelligence, rival-learning language, or constructive competitive awareness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Lixiang has shown willingness to adapt — expanding from traditional high school education into vocational education, HR services (labor dispatch, recruitment outsourcing, flexible employment), and healthcare support services [1]. These are incremental extensions within adjacent sectors rather than transformative pivots, but they demonstrate survival instinct and business model evolution in a hostile regulatory environment following the 2021 double-reduction policy.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maintain a Nasdaq listing and continue operating private schools through China's 2021 double-reduction policy crackdown on private education required some courage — many peers exited or delisted [2]. The 1-for-10 reverse split to maintain compliance was a pragmatic survival move. However, persistent losses and near-delisting indicate the bold decisions have not produced sustainable outcomes, and the company's financial trajectory suggests insufficient strategic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Lixiang Education is a micro-cap Chinese education company trading at $1.79 with a market cap of approximately $3.4M, operating four schools across China's high school and vocational education segments alongside emerging HR and healthcare support services [1]. The education sector provides some defensive characteristics against AI disruption (physical schools, licensed facilities, credentialed diplomas). Revenue of $30.7M trailing and D/E of 67% suggest a modestly levered operation, and the extreme discount to book value (0.15x P/B) could theoretically attract value investors.</w:t>
      </w:r>
    </w:p>
    <w:p>
      <w:pPr>
        <w:spacing w:after="120"/>
      </w:pPr>
      <w:r>
        <w:rPr>
          <w:rFonts w:ascii="Calibri" w:hAnsi="Calibri"/>
          <w:b w:val="0"/>
          <w:color w:val="3A4A28"/>
          <w:sz w:val="20"/>
        </w:rPr>
        <w:t>The bear case is overwhelming and existential. The company has deeply negative ROE of -57.7% and 0% profit margin, with total debt of $94.9M against only $9.4M in cash [1]. The $3.4M market cap and approximately $910K daily dollar volume trigger the IOWN liquidity floor, producing an Infrastructure score of zero and making position entry and exit impractical. Nasdaq compliance remains precarious — the company barely regained compliance after a 1-for-10 reverse split and another downturn could reignite delisting proceedings [3]. China's regulatory environment remains hostile to private education following the 2021 double-reduction policy, and VIE structure adds governance risk for U.S. investors [3]. With only 187 employees, no analyst coverage, no earnings estimates, and no institutional interest, this is a speculative micro-cap unsuitable for IOWN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HR services expansion (labor dispatch, recruitment outsourcing, healthcare support) could diversify revenue beyond declining education segments if scaled to meaningful contribution [1]</w:t>
      </w:r>
    </w:p>
    <w:p>
      <w:pPr>
        <w:spacing w:before="40" w:after="40"/>
        <w:ind w:left="283"/>
      </w:pPr>
      <w:r>
        <w:rPr>
          <w:rFonts w:ascii="Calibri" w:hAnsi="Calibri"/>
          <w:b/>
          <w:color w:val="4A6B25"/>
          <w:sz w:val="20"/>
        </w:rPr>
        <w:t xml:space="preserve">2. </w:t>
      </w:r>
      <w:r>
        <w:rPr>
          <w:rFonts w:ascii="Calibri" w:hAnsi="Calibri"/>
          <w:b w:val="0"/>
          <w:color w:val="3A4A28"/>
          <w:sz w:val="20"/>
        </w:rPr>
        <w:t>Enrollment recovery and vocational education growth driven by Chinese government policy prioritizing vocational training over traditional academic pathways, potentially reversing revenue declines</w:t>
      </w:r>
    </w:p>
    <w:p>
      <w:pPr>
        <w:spacing w:before="40" w:after="40"/>
        <w:ind w:left="283"/>
      </w:pPr>
      <w:r>
        <w:rPr>
          <w:rFonts w:ascii="Calibri" w:hAnsi="Calibri"/>
          <w:b/>
          <w:color w:val="4A6B25"/>
          <w:sz w:val="20"/>
        </w:rPr>
        <w:t xml:space="preserve">3. </w:t>
      </w:r>
      <w:r>
        <w:rPr>
          <w:rFonts w:ascii="Calibri" w:hAnsi="Calibri"/>
          <w:b w:val="0"/>
          <w:color w:val="3A4A28"/>
          <w:sz w:val="20"/>
        </w:rPr>
        <w:t>Extreme discount to book value (0.15x P/B) could attract value investors or strategic acquirers seeking licensed school assets in China's private education sector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financial risk — deeply negative ROE of -57.7%, 0% profit margin, and $94.9M total debt against $9.4M cash indicate a business model that may not be sustainable without dilutive financing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remains a near-term threat despite regaining compliance — the $3.4M market cap provides virtually no safety margin, and further share price declines could trigger renewed non-compliance notices [3]</w:t>
      </w:r>
    </w:p>
    <w:p>
      <w:pPr>
        <w:spacing w:before="40" w:after="40"/>
        <w:ind w:left="283"/>
      </w:pPr>
      <w:r>
        <w:rPr>
          <w:rFonts w:ascii="Calibri" w:hAnsi="Calibri"/>
          <w:b/>
          <w:color w:val="4A6B25"/>
          <w:sz w:val="20"/>
        </w:rPr>
        <w:t xml:space="preserve">3. </w:t>
      </w:r>
      <w:r>
        <w:rPr>
          <w:rFonts w:ascii="Calibri" w:hAnsi="Calibri"/>
          <w:b w:val="0"/>
          <w:color w:val="3A4A28"/>
          <w:sz w:val="20"/>
        </w:rPr>
        <w:t>Chinese regulatory hostility to private education providers following the 2021 double-reduction policy, with VIE structure adding governance and expropriation risk for U.S. ADR holders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Lixiang Education's core high school business operates physical campuses with in-person instruction mandated by Chinese education regulations, providing structural protection from AI substitution — AI cannot replace physical classrooms for minor students in China's regulatory framework [2]. However, the company's growing HR services segment (labor dispatch, recruitment outsourcing, flexible employment) faces meaningful AI disruption risk as AI-driven recruitment platforms, automated resume screening, and workforce management tools are rapidly commoditizing staffing services [2]. The vocational education segment is also partially exposed as online and AI-powered vocational training platforms reduce demand for in-person programs. AI tutoring platforms such as Squirrel AI and Yuanfudao pose substitution risk to traditional classroom instruction in China. The mixed business model — protected physical schools offset by vulnerable staffing operations — lands the company in the EXPOSED range. AI Opportunity (0/1): No evidence of AI-generated revenue, AI deployment, or any meaningful technology adoption within Lixiang's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LXEH Key Statistics, Financial Data, and Company Profile: Revenue $30.7M, ROE -57.7%, D/E 67.0%, Price $1.79,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MarketScreener, Investing.com — Lixiang Education Company Profile, CEO Wei Biao, Business Segments,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StocksToTrade, The Cerbat Gem — LXEH Earnings Results, Nasdaq Compliance, Reverse Split,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