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LYG</w:t>
      </w:r>
      <w:r>
        <w:rPr>
          <w:rFonts w:ascii="Calibri" w:hAnsi="Calibri"/>
          <w:b/>
          <w:color w:val="1A2010"/>
          <w:sz w:val="40"/>
        </w:rPr>
        <w:t xml:space="preserve">  Lloyds Banking Group plc</w:t>
      </w:r>
    </w:p>
    <w:p>
      <w:pPr>
        <w:spacing w:after="120"/>
      </w:pPr>
      <w:r>
        <w:rPr>
          <w:rFonts w:ascii="Calibri" w:hAnsi="Calibri"/>
          <w:b/>
          <w:color w:val="6E8450"/>
          <w:sz w:val="18"/>
        </w:rPr>
        <w:t>DIVIDEND SLEEVE · 2026-10-04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Kingdom</w:t>
      </w:r>
    </w:p>
    <w:p>
      <w:pPr>
        <w:spacing w:after="80"/>
      </w:pPr>
      <w:r>
        <w:rPr>
          <w:rFonts w:ascii="Calibri" w:hAnsi="Calibri"/>
          <w:b w:val="0"/>
          <w:color w:val="3A4A28"/>
          <w:sz w:val="20"/>
        </w:rPr>
        <w:t>Lloyds Banking Group is the UK's largest retail and commercial bank, operating through Lloyds Bank, Halifax, Bank of Scotland, and Scottish Widows across Retail, Commercial Banking, and Insurance segments. Serves 26M+ customers. CEO Charlie Nunn unveiled a 5-year growth strategy targeting c.GBP 5B net income growth at mid-single-digit CAGR [1]. H1 2026 delivered net income up 9% to GBP 9.7B, underlying profit before impairment up 21% to GBP 4.8B, NII up 9% to GBP 7.3B, RoTE of 17.1%, and a 30% dividend increase. Founded in 1695. Market cap ~$79B.</w:t>
      </w:r>
    </w:p>
    <w:p>
      <w:r>
        <w:rPr>
          <w:rFonts w:ascii="Calibri" w:hAnsi="Calibri"/>
          <w:b/>
          <w:color w:val="6E8450"/>
          <w:sz w:val="18"/>
        </w:rPr>
        <w:t>60,061 Employees · https://www.lloydsbankinggroup.com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Lloyds has executed a significant multi-year transformation under CEO Charlie Nunn, diversifying beyond traditional banking into insurance, wealth management, and digital services — other income grew 11% YoY to GBP 3.3B in H1 2026, demonstrating the strategic pivot is delivering revenue [1]. The 5-year plan targets c.GBP 2B from strategic initiatives including wealth management (Embark integration), SME banking expansion, and insurance growth, now expected to deliver c.GBP 2B ahead of the previous GBP 1.5B target [1]. AI Deployment (2/2): Lloyds had 800+ AI models live in production before generative AI emerged and deployed agentic AI for real-time fraud detection where multiple AI agents operate simultaneously during customer calls [2]. Generated approximately GBP 50M in AI-attributable value in 2025, targeting GBP 100M+ for 2026. CEO Nunn states AI could 'outstrip 50 years of financial services progress in five years' [2]. 80% of 65,000 employees engaged with AI training tools within months of launch. Market Share (1/2): UK's largest retail bank by deposit and mortgage market share with 26M+ customers, but faces steady competitive pressure from neobanks (Monzo, Revolut, Starling) — share stable rather than gaining [1]. Product Pipeline (0/2): No specific next-generation products with defined launch dates beyond general digital transformation and 5-year strategic plan pillars. R&amp;D Intensity (1/1): Hired 10,000+ data and technology professionals in recent years, investing GBP 3B+ over the plan period in technology, targeting 17.5% reduction in legacy applications and 30%+ data center decommissioning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'Helping Britain Prosper' is a genuine and geographically specific purpose tying the institution's reason for being to national economic health [1]. CEO Nunn references it in the 5-year strategy. However, the purpose was adopted in 2014 and the bank's history includes the reckless 2008 HBOS merger and PPI mis-selling scandal (GBP 22B+ in remediation), undermining long-term credibility. Community Impact (2/2): Lloyds Bank Foundation committed GBP 100M to four charitable Foundations by 2030, launched GBP 4.2M Financial Resilience Fund for small charities, pledged GBP 50M in lending to the Homewards homelessness programme, and delivered GBP 57B+ in sustainable financing since 2022 [3]. Significant, distinctive community investment with specific dollar amounts. Employee Retention (1/2): Glassdoor 3.6/5 with 63% recommend rate — adequate but not exceptional for banking. 80% of employees engaged with AI training, and CEO emphasized reskilling rather than mass layoffs for AI transition [2]. Some reviews describe management culture as inconsistent. Insider Buying (0/2): No evidence of meaningful net insider buying by CEO Charlie Nunn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D/E excluded (yfinance returned null; bank leverage reflects structural business model requirements). ROE of 11.34% on total equity is below the 15% target, though operating RoTE of 17.1% demonstrates strong returns on tangible equity [1][4]. Revenue grew 12.3% YoY, exceeding the 10% target; 5yr CAGR of ~7.7% is solid [1]. Forward P/E of 8.56x is well below the 20x target, reflecting deep value pricing for UK banks [4]. Profit margin of 26.4% exceeds the 20% target [4]. Dividend metrics are supportive: payout ratio of 46.6% near the 40% target, 30% dividend increase in H1 2026, yield of 3.96%, and strong 5yr dividend growth CAGR of ~25% reflecting recovery from the 2020 regulatory-mandated suspension [1]. Consecutive years paid (5 since 2021 restart) and growth (5) are limited by the COVID-era suspension. NIM expanded to 3.19% with NII up 9% to GBP 7.3B. Liquidity passes at ~$80M daily dollar volume (14.6M shares x $5.50).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Lloyds demonstrates mixed infinite game characteristics under Charlie Nunn's leadership. 'Helping Britain Prosper' provides a genuine anchor for strategic decisions, and the 5-year plan investing GBP 3B+ in technology shows willingness to build for the long term. The CEO's competitive framing — explicitly stating Lloyds 'isn't playing the same game' as fintechs — reflects an infinite mindset. However, the bank's history includes the catastrophic HBOS merger, PPI mis-selling (GBP 22B+), motor finance provisions (GBP 1.95B), and an ASA greenwashing ruling — a pattern of short-term practices requiring costly remediation that undermines the infinite game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'Helping Britain Prosper' is genuine and distinctive, connecting banking to national economic wellbeing, with strategic decisions (GBP 57B sustainable financing, GBP 100M charitable foundations, homelessness lending) tracing back to it [1][3]. CEO Nunn's 5-year plan explicitly frames growth through this lens. However, adopted in 2014, it has not been validated through multi-decade consistency. Motor finance mis-selling (GBP 1.95B provisions) and PPI scandal (GBP 22B+) demonstrate the institution has not always lived its stated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Lloyds maintains ~60,000 employees with leadership stability under CEO Nunn since 2021, invested in 10,000+ technology hires, and achieved 80% employee engagement with AI training tools [2]. Glassdoor 3.6/5 with 63% recommend rate is adequate. CEO emphasized reskilling over layoffs for AI transition, though he acknowledged some job reductions would be necessary. Reviews describe strong benefits and work-life balance but inconsistent management culture in some areas.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Nunn's competitive framing is explicitly infinite-minded — he stated Lloyds 'isn't playing the same game as upstart fintechs,' positioning advantage in relationship depth and cross-product penetration rather than trying to out-digitize Monzo or Revolut [2]. The 5-year plan acknowledges digital competitors' strengths and uses that pressure to accelerate Lloyds' own digital transformation. This reflects exactly the competitive mindset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Lloyds has evolved significantly — from a traditional bank that nearly collapsed under the HBOS merger, through nationalization and government ownership, to a rebuilt UK retail and commercial franchise [1]. Under Nunn, expanding into wealth management (Embark), insurance (Scottish Widows), and digital banking. Targeting 17.5% reduction in legacy applications and 30%+ data center decommissioning [2]. However, these are incremental evolutions within the existing banking model, not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Nunn committed GBP 3B+ to technology transformation while simultaneously increasing the dividend 30%, demonstrating confidence in balancing reinvestment with shareholder returns [1]. The commitment to GBP 57B in sustainable financing and net-zero operations by 2030 represents costly long-term bets. However, motor finance provisioning (GBP 1.95B) and PPI history suggest past leadership lacked courage to walk away from misaligned commission practices.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Lloyds at ~8.6x forward earnings is a deeply valued UK banking franchise delivering accelerating profitability — H1 2026 net income grew 9% to GBP 9.7B, underlying profit before impairment surged 21% to GBP 4.8B, NII expanded 9% to GBP 7.3B, RoTE reached 17.1%, and the dividend was increased 30% [1]. The 5-year growth strategy now targets c.GBP 2B annualized additional revenues from strategic initiatives (ahead of the previous GBP 1.5B target), diversifying into wealth management, insurance, and SME banking [1]. ROE of 11.34% is improving toward cost of equity, with profit margin of 26.4% exceeding targets [4]. As the UK's largest retail bank with 26M+ customers, Lloyds has 800+ AI models in production targeting GBP 100M+ in AI value for 2026, positioning it ahead of UK banking peers [2]. The 3.96% dividend yield and GBP 1.75B buyback program provide total return support. Strategic revenue grew 14% from other income to GBP 3.3B, demonstrating diversification progress.</w:t>
      </w:r>
    </w:p>
    <w:p>
      <w:pPr>
        <w:spacing w:after="120"/>
      </w:pPr>
      <w:r>
        <w:rPr>
          <w:rFonts w:ascii="Calibri" w:hAnsi="Calibri"/>
          <w:b w:val="0"/>
          <w:color w:val="3A4A28"/>
          <w:sz w:val="20"/>
        </w:rPr>
        <w:t>The bear case centers on structural UK banking headwinds and remediation overhang. ROE of 11.34% on total equity remains near the cost of equity, meaning Lloyds generates limited economic value above required returns despite headline profitability [4]. The motor finance commission scandal carries GBP 1,950M provisioned with potential for further charges as FCA final rules take effect — Lloyds acknowledged impact at the 'adverse end' of expectations [1]. The ASA greenwashing ruling and PPI precedent (GBP 22B+) demonstrate persistent regulatory and reputational risk [3]. Consecutive dividend years paid (5) and growth (5) remain limited by the 2020 COVID-era regulatory suspension. Fintech competitors (Monzo 10M+ UK customers, Revolut, Starling) continue eroding retail deposit share among younger demographics, threatening the low-cost funding base. UK economic sensitivity means any recession would rapidly increase loan losses across the GBP 450B+ loan book concentrated in residential mortgages. The stock has declined 7.5% from its recent highs, reflecting market uncertainty around the motor finance remediation timeline.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Five-year growth strategy targeting GBP 5B incremental net income through wealth management, insurance, and SME banking — strategic initiatives now expected to deliver c.GBP 2B annualized, ahead of original GBP 1.5B target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efficiency with 800+ models in production and GBP 100M+ AI value target for 2026, with 80% of 65,000 employees engaged with AI training — CEO Nunn states AI could outstrip 50 years of financial services progress in five years [2]</w:t>
      </w:r>
    </w:p>
    <w:p>
      <w:pPr>
        <w:spacing w:before="40" w:after="40"/>
        <w:ind w:left="283"/>
      </w:pPr>
      <w:r>
        <w:rPr>
          <w:rFonts w:ascii="Calibri" w:hAnsi="Calibri"/>
          <w:b/>
          <w:color w:val="4A6B25"/>
          <w:sz w:val="20"/>
        </w:rPr>
        <w:t xml:space="preserve">3. </w:t>
      </w:r>
      <w:r>
        <w:rPr>
          <w:rFonts w:ascii="Calibri" w:hAnsi="Calibri"/>
          <w:b w:val="0"/>
          <w:color w:val="3A4A28"/>
          <w:sz w:val="20"/>
        </w:rPr>
        <w:t>30% H1 2026 dividend increase with 3.96% yield and GBP 1.75B buyback program — progressive dividend policy signals management confidence in sustainable earnings growth and NIM expansion to 3.19%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Motor finance redress costs escalating beyond the GBP 1,950M provision as FCA rules expand eligibility — Lloyds acknowledged impact at the 'adverse end' of expectations, with potential for billions in additional charges [1]</w:t>
      </w:r>
    </w:p>
    <w:p>
      <w:pPr>
        <w:spacing w:before="40" w:after="40"/>
        <w:ind w:left="283"/>
      </w:pPr>
      <w:r>
        <w:rPr>
          <w:rFonts w:ascii="Calibri" w:hAnsi="Calibri"/>
          <w:b/>
          <w:color w:val="4A6B25"/>
          <w:sz w:val="20"/>
        </w:rPr>
        <w:t xml:space="preserve">2. </w:t>
      </w:r>
      <w:r>
        <w:rPr>
          <w:rFonts w:ascii="Calibri" w:hAnsi="Calibri"/>
          <w:b w:val="0"/>
          <w:color w:val="3A4A28"/>
          <w:sz w:val="20"/>
        </w:rPr>
        <w:t>UK economic slowdown compressing net interest margins as the Bank of England cuts rates, reducing the NII tailwind that drove 2025-2026 performance and pressuring the 26M-customer mortgage book concentrated in UK residential property [1]</w:t>
      </w:r>
    </w:p>
    <w:p>
      <w:pPr>
        <w:spacing w:before="40" w:after="40"/>
        <w:ind w:left="283"/>
      </w:pPr>
      <w:r>
        <w:rPr>
          <w:rFonts w:ascii="Calibri" w:hAnsi="Calibri"/>
          <w:b/>
          <w:color w:val="4A6B25"/>
          <w:sz w:val="20"/>
        </w:rPr>
        <w:t xml:space="preserve">3. </w:t>
      </w:r>
      <w:r>
        <w:rPr>
          <w:rFonts w:ascii="Calibri" w:hAnsi="Calibri"/>
          <w:b w:val="0"/>
          <w:color w:val="3A4A28"/>
          <w:sz w:val="20"/>
        </w:rPr>
        <w:t>Fintech disruption from Monzo (10M+ UK customers), Revolut, and Starling eroding retail deposit franchise among customers under 40, threatening the low-cost funding base that supports 3.19% NIM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Lloyds' core retail and commercial banking operations are structurally protected by regulatory moats (UK banking licenses, PRA/FCA oversight), customer switching costs (direct debits, mortgage lock-in, payroll deposit inertia), and physical infrastructure requirements [2]. Mortgage origination, SME lending, and insurance underwriting require regulatory compliance and local market knowledge that AI cannot fully replicate. However, fintech competitors leveraging AI for instant credit decisions and frictionless payments (Monzo with 10M+ UK customers, Revolut, Starling) are eroding Lloyds' retail deposit base among younger demographics. CEO Nunn argues Lloyds 'isn't playing the same game' as digital challengers, positioning the bank's advantage in relationship depth and cross-product penetration [2]. AI Opportunity (1/1): Lloyds has 800+ AI models in production generating measurable value — GBP 50M in 2025 with GBP 100M+ target for 2026 — and deployed agentic AI for real-time fraud protection, making it one of the most aggressive AI adopters among European banks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Lloyds Banking Group H1 2026 Results &amp; 5-Year Growth Strategy — Net Income GBP 9.7B (+9%), Underlying Profit GBP 4.8B (+21%), RoTE 17.1%, NIM 3.19%, 30% Dividend Increase, Strategic Revenue Target c.GBP 2B, July 2026</w:t>
      </w:r>
    </w:p>
    <w:p>
      <w:pPr>
        <w:spacing w:before="20" w:after="20"/>
        <w:ind w:left="170"/>
      </w:pPr>
      <w:r>
        <w:rPr>
          <w:rFonts w:ascii="Calibri" w:hAnsi="Calibri"/>
          <w:b/>
          <w:color w:val="4A6B25"/>
          <w:sz w:val="15"/>
        </w:rPr>
        <w:t xml:space="preserve">2. </w:t>
      </w:r>
      <w:r>
        <w:rPr>
          <w:rFonts w:ascii="Calibri" w:hAnsi="Calibri"/>
          <w:b w:val="0"/>
          <w:color w:val="3A4A28"/>
          <w:sz w:val="17"/>
        </w:rPr>
        <w:t>Lloyds Banking Group AI Strategy, Digital Transformation &amp; Culture — 800+ AI Models, Agentic AI, CEO Charlie Nunn, 10,000+ Tech Hires, 80% Employee AI Engagement, Diginomica, CambridgeSpark, 2025-2026</w:t>
      </w:r>
    </w:p>
    <w:p>
      <w:pPr>
        <w:spacing w:before="20" w:after="20"/>
        <w:ind w:left="170"/>
      </w:pPr>
      <w:r>
        <w:rPr>
          <w:rFonts w:ascii="Calibri" w:hAnsi="Calibri"/>
          <w:b/>
          <w:color w:val="4A6B25"/>
          <w:sz w:val="15"/>
        </w:rPr>
        <w:t xml:space="preserve">3. </w:t>
      </w:r>
      <w:r>
        <w:rPr>
          <w:rFonts w:ascii="Calibri" w:hAnsi="Calibri"/>
          <w:b w:val="0"/>
          <w:color w:val="3A4A28"/>
          <w:sz w:val="17"/>
        </w:rPr>
        <w:t>Lloyds Banking Group Community Impact &amp; ESG — GBP 100M Charitable Foundations, GBP 57B Sustainable Financing, ASA Greenwashing Ruling, ESG Reporting,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LYG Key Statistics: Forward P/E 8.56x, ROE 11.34%, Profit Margin 26.4%, Stock Price $5.50, Avg Volume 14.6M,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