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MAC</w:t>
      </w:r>
      <w:r>
        <w:rPr>
          <w:rFonts w:ascii="Calibri" w:hAnsi="Calibri"/>
          <w:b/>
          <w:color w:val="1A2010"/>
          <w:sz w:val="40"/>
        </w:rPr>
        <w:t xml:space="preserve">  Macerich Company (The)</w:t>
      </w:r>
    </w:p>
    <w:p>
      <w:pPr>
        <w:spacing w:after="120"/>
      </w:pPr>
      <w:r>
        <w:rPr>
          <w:rFonts w:ascii="Calibri" w:hAnsi="Calibri"/>
          <w:b/>
          <w:color w:val="6E8450"/>
          <w:sz w:val="18"/>
        </w:rPr>
        <w:t>DIVIDEND SLEEVE · 2026-09-14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NYSE · United States</w:t>
      </w:r>
    </w:p>
    <w:p>
      <w:pPr>
        <w:spacing w:after="80"/>
      </w:pPr>
      <w:r>
        <w:rPr>
          <w:rFonts w:ascii="Calibri" w:hAnsi="Calibri"/>
          <w:b w:val="0"/>
          <w:color w:val="3A4A28"/>
          <w:sz w:val="20"/>
        </w:rPr>
        <w:t>Macerich is a fully integrated, self-managed REIT and leading owner, operator, and developer of high-quality retail real estate in densely populated U.S. markets. The portfolio of approximately 39 million square feet across 38 retail centers is concentrated in California, the Pacific Northwest, Phoenix/Scottsdale, and the Metro New York to Washington, D.C. corridor. Under CEO Jackson Hsieh (appointed March 2024), the company's Path Forward Plan targets balance sheet improvement and operational acceleration, with Q2 2026 delivering FFO of $100.4M and 3.8% go-forward NOI growth. Macerich acquired Annapolis Mall for $272M in 2026, marking a shift from net dispositions to selective acquisitions.</w:t>
      </w:r>
    </w:p>
    <w:p>
      <w:r>
        <w:rPr>
          <w:rFonts w:ascii="Calibri" w:hAnsi="Calibri"/>
          <w:b/>
          <w:color w:val="6E8450"/>
          <w:sz w:val="18"/>
        </w:rPr>
        <w:t>596 Employees · https://www.macerich.com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Macerich has pursued mixed-use redevelopment at select properties, converting underperforming retail into residential, office, and dining, and acquired Annapolis Mall for $272M — but these are incremental moves within the same Class A mall REIT model [1][2]. CEO Hsieh's Path Forward Plan focuses on financial restructuring and selective acquisitions rather than business model innovation. AI Deployment (0/2): No evidence of AI-powered products, AI-driven cost savings, or AI initiatives in earnings calls or investor materials [1]. Market Share (1/2): Macerich owns Class A malls in top-tier U.S. markets with high barriers to entry, but the portfolio has contracted from 47 to 38 properties since 2019 through dispositions, reflecting managed optimization rather than share gains [1]. Product Pipeline (1/2): Management projects at least 3% go-forward NOI growth for 2026, ramping to 8%+ in 2027-2028 as the $140M SNO pipeline tenants open and begin paying rent [1]. R&amp;D Intensity (0/1): REITs do not invest in traditional R&amp;D; capital expenditures are maintenance- and redevelopment-oriented.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Macerich's stated purpose is 'Creating Properties with Purpose,' describing dedication to advancing environmental goals, social good, and sound corporate governance [3]. The mission clearly identifies what the company does but is not deeply distinctive — essentially describing responsible REIT management without a transformative vision beyond industry norms. Community &amp; Charitable Impact (1/2): The MacImpact program encompasses sustainability and social impact; $100M invested in energy efficiency and renewables since 2008, #1 GRESB ranking for U.S. retail for 10 consecutive years, and net-zero carbon targets for 2035 (operations) and 2040 (supply chain) [4]. Sustainalytics assigns a Low Controversy Level of 1.0. Employee Retention (0/2): Glassdoor rating of 3.3/5 with employee reviews citing 'new leadership has changed much of the things people loved' and concerns about nepotism in upper management. No evidence of above-average retention in a 596-person organization undergoing leadership-driven change [5]. Insider Buying (2/2): CEO Jackson Hsieh purchased 140,000 shares (~$2M) in May 2024 and an additional 56,000 shares (~$994K) in March 2025, totaling approximately $3M in open-market purchases — meaningful personal conviction in the turnaround strategy by the CEO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 metrics, excluding Forward P/E and Payout Ratio which are not meaningful given negative GAAP earnings distorted by REIT depreciation. D/E of 171.5% reflects heavy REIT leverage above the 70% target but improved from 199% earlier in 2026 [2]. ROE of -6.18% and profit margin of -17.1% both score zero, though these GAAP figures are distorted by non-cash depreciation charges inherent to REITs — FFO of $100.4M in Q2 2026 (up from $88.7M) is the more meaningful profitability measure [1]. Revenue of $249.7M in Q2 2026 was nearly flat YoY, with six-month revenue of $491.2M down 1.6%. The 32-year consecutive dividend payment history (since 1994) scores perfectly with 2x weighting. Consecutive years of growth remains zero after the 2020 cut from $3.00 to $0.60. The 5-year dividend growth CAGR of approximately 2.5% reflects modest increases from the post-cut base [6]. Liquidity of ~$45M daily traded value passes easily.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Macerich shows elements of long-term thinking through its 32-year dividend history, ESG leadership (GRESB #1 for 10 consecutive years), and CEO Hsieh's $3M in personal stock purchases. However, the 2020 dividend cut, third CEO in a decade, and employee complaints about cultural deterioration under new leadership suggest a company playing to survive rather than playing to endure. The Path Forward Plan's language around balance sheet repair and asset dispositions is finite-oriented turnaround strategy, not infinite game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'Creating Properties with Purpose' exists but reads as marketing — interchangeable with any responsible REIT [3]. Leadership references it in corporate responsibility materials, but strategic decisions under Hsieh (asset dispositions, debt reduction, the Annapolis Mall acquisition) are driven by financial optimization and portfolio repositioning rather than an articulated vision of a better future for communities or retail experiences. The purpose does not demonstrably shape competitive strategy.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Macerich's 596-employee organization maintains basic stability, but Glassdoor reviews (3.3/5) reveal deterioration under Hsieh's leadership: employees report the company 'no longer feels like it cares about its employees as much as it cares about its bottom line,' and concerns about nepotism in upper management positions [5]. The third CEO in a decade creates organizational whiplash that erodes institutional trust, though the company is not in crisis-level dysfunction.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Macerich's competitive language focuses on 'leading owner, operator, and developer' positioning and portfolio quality in affluent markets rather than learning from rivals [1]. No management commentary references Simon Property Group or Brookfield as worthy rivals whose strengths inform self-improvement. The competitive framing is about market position and asset quality — a finite game orientation.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Macerich has shown incremental flexibility by converting underperforming retail into mixed-use developments, executing portfolio rationalization through asset sales, and now selectively acquiring (Annapolis Mall for $272M) [1][2]. The Path Forward Plan represents strategic adaptation to post-COVID retail dynamics. However, these are adaptive responses within the same asset class rather than transformative reinvention — Macerich remains fundamentally a retail mall REIT.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2020 decision to cut the dividend by 80% (from $3.00 to $0.60) while maintaining payment showed willingness to sacrifice income investor goodwill for balance sheet health [6]. The $100M ESG investment since 2008 and net-zero-by-2035 commitment demonstrate long-term thinking beyond quarterly results [4]. CEO Hsieh's $3M in personal stock purchases signal conviction. However, these decisions are increasingly table-stakes for large REITs, and the revolving CEO door suggests the board optimizes for operational turnaround rather than courageous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Macerich offers exposure to Class A retail real estate in top-tier U.S. markets with improving operating fundamentals and strong CEO alignment. Q2 2026 FFO of $100.4M ($0.35/share) grew from $88.7M in Q2 2025, go-forward portfolio NOI grew 3.8%, and management guides acceleration to 8%+ NOI growth in 2027-2028 as the $140M SNO pipeline contributes rent [1]. The $272M Annapolis Mall acquisition marks a shift from net dispositions to selective growth, and CEO Hsieh has backed the turnaround with $3M in personal stock purchases [2][6]. The 2.93% dividend yield is supported by a 32-year payment history, GRESB #1 U.S. retail ranking for 10 consecutive years positions the company for ESG-focused capital flows, and an Inspire Impact Score of 55 (ALIGNED) adds appeal for faith-based investors [4].</w:t>
      </w:r>
    </w:p>
    <w:p>
      <w:pPr>
        <w:spacing w:after="120"/>
      </w:pPr>
      <w:r>
        <w:rPr>
          <w:rFonts w:ascii="Calibri" w:hAnsi="Calibri"/>
          <w:b w:val="0"/>
          <w:color w:val="3A4A28"/>
          <w:sz w:val="20"/>
        </w:rPr>
        <w:t>The bear case centers on persistent negative GAAP fundamentals and cultural concerns. Profit margin of -17.1%, ROE of -6.18%, and D/E of 171.5% reflect a balance sheet still under stress despite improving NOI trends [2]. Revenue of $249.7M in Q2 2026 was nearly flat YoY, and six-month revenue declined 1.6%, indicating the topline has not yet inflected. The dividend was cut 80% in 2020 with zero consecutive years of growth since, and the 133% GAAP payout ratio (distorted by REIT depreciation) highlights the thin margin between FFO and distribution obligations. Hsieh is the third CEO in a decade, and Glassdoor reviews (3.3/5) describe cultural deterioration — employees say 'new leadership has changed much of the things people loved about the company' — adding execution risk to a plan that requires sustained operational improvement [5]. The secular shift to e-commerce continues, with AI-enhanced online shopping potentially accelerating the trend, and the portfolio contraction from 47 to 38 properties since 2019 underscores structural headwinds for mall-based retail.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NOI growth acceleration to 8%+ in 2027-2028 as the $140M SNO pipeline tenants open and begin paying rent, with Q2 2026 already delivering 3.8% go-forward NOI growth and management guidance for second-half acceleration [1]</w:t>
      </w:r>
    </w:p>
    <w:p>
      <w:pPr>
        <w:spacing w:before="40" w:after="40"/>
        <w:ind w:left="283"/>
      </w:pPr>
      <w:r>
        <w:rPr>
          <w:rFonts w:ascii="Calibri" w:hAnsi="Calibri"/>
          <w:b/>
          <w:color w:val="4A6B25"/>
          <w:sz w:val="20"/>
        </w:rPr>
        <w:t xml:space="preserve">2. </w:t>
      </w:r>
      <w:r>
        <w:rPr>
          <w:rFonts w:ascii="Calibri" w:hAnsi="Calibri"/>
          <w:b w:val="0"/>
          <w:color w:val="3A4A28"/>
          <w:sz w:val="20"/>
        </w:rPr>
        <w:t>Annapolis Mall acquisition for $272M signals a shift from net dispositions to selective growth, potentially re-rating the stock as the market recognizes the portfolio stabilization inflection point [2]</w:t>
      </w:r>
    </w:p>
    <w:p>
      <w:pPr>
        <w:spacing w:before="40" w:after="40"/>
        <w:ind w:left="283"/>
      </w:pPr>
      <w:r>
        <w:rPr>
          <w:rFonts w:ascii="Calibri" w:hAnsi="Calibri"/>
          <w:b/>
          <w:color w:val="4A6B25"/>
          <w:sz w:val="20"/>
        </w:rPr>
        <w:t xml:space="preserve">3. </w:t>
      </w:r>
      <w:r>
        <w:rPr>
          <w:rFonts w:ascii="Calibri" w:hAnsi="Calibri"/>
          <w:b w:val="0"/>
          <w:color w:val="3A4A28"/>
          <w:sz w:val="20"/>
        </w:rPr>
        <w:t>Potential interest rate cuts reducing refinancing costs on the substantial debt load, directly improving FFO and making the 2.93% dividend more sustainable while compressing cap rates on Class A retail assets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remains negative (-17.1% margin, -6.18% ROE) and 171.5% D/E limits financial flexibility — if FFO stagnates or rates stay elevated, a second dividend cut becomes possible given the effectively unsustainable GAAP payout ratio [2]</w:t>
      </w:r>
    </w:p>
    <w:p>
      <w:pPr>
        <w:spacing w:before="40" w:after="40"/>
        <w:ind w:left="283"/>
      </w:pPr>
      <w:r>
        <w:rPr>
          <w:rFonts w:ascii="Calibri" w:hAnsi="Calibri"/>
          <w:b/>
          <w:color w:val="4A6B25"/>
          <w:sz w:val="20"/>
        </w:rPr>
        <w:t xml:space="preserve">2. </w:t>
      </w:r>
      <w:r>
        <w:rPr>
          <w:rFonts w:ascii="Calibri" w:hAnsi="Calibri"/>
          <w:b w:val="0"/>
          <w:color w:val="3A4A28"/>
          <w:sz w:val="20"/>
        </w:rPr>
        <w:t>Third CEO in a decade creates strategic execution risk, with Glassdoor reviews (3.3/5) citing cultural deterioration under Hsieh's leadership and employee concerns about nepotism in upper management [5]</w:t>
      </w:r>
    </w:p>
    <w:p>
      <w:pPr>
        <w:spacing w:before="40" w:after="40"/>
        <w:ind w:left="283"/>
      </w:pPr>
      <w:r>
        <w:rPr>
          <w:rFonts w:ascii="Calibri" w:hAnsi="Calibri"/>
          <w:b/>
          <w:color w:val="4A6B25"/>
          <w:sz w:val="20"/>
        </w:rPr>
        <w:t xml:space="preserve">3. </w:t>
      </w:r>
      <w:r>
        <w:rPr>
          <w:rFonts w:ascii="Calibri" w:hAnsi="Calibri"/>
          <w:b w:val="0"/>
          <w:color w:val="3A4A28"/>
          <w:sz w:val="20"/>
        </w:rPr>
        <w:t>Secular e-commerce shift continues pressuring mall-based retail tenant demand, with AI-enhanced online shopping potentially accelerating consumer migration away from physical stores despite Class A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Macerich's core business — owning and operating physical retail real estate in densely populated U.S. markets — is structurally immune to AI displacement [1]. Malls are physical infrastructure; AI cannot replicate the in-person shopping, dining, and entertainment experiences that drive foot traffic to Class A properties. No analysts have flagged AI as a substitution risk for premium retail REITs. The primary competitive threat is e-commerce, which predates generative AI, and Macerich's Class A positioning in high-barrier markets with experiential retail has proven resilient. Physical property management, tenant relationships, and community placemaking are inherently local, human activities. AI Opportunity (0/1): No evidence of AI-driven revenue generation. Macerich has not deployed AI products for tenants or customers, nor reported AI-related efficiency gains in property management or leasing operations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Macerich Q2 2026 Earnings — FFO $100.4M ($0.35/share, +2.9% YoY), Revenue $249.7M (flat YoY), NOI Growth 3.8%, SNO Pipeline $140M, July 2026</w:t>
      </w:r>
    </w:p>
    <w:p>
      <w:pPr>
        <w:spacing w:before="20" w:after="20"/>
        <w:ind w:left="170"/>
      </w:pPr>
      <w:r>
        <w:rPr>
          <w:rFonts w:ascii="Calibri" w:hAnsi="Calibri"/>
          <w:b/>
          <w:color w:val="4A6B25"/>
          <w:sz w:val="15"/>
        </w:rPr>
        <w:t xml:space="preserve">2. </w:t>
      </w:r>
      <w:r>
        <w:rPr>
          <w:rFonts w:ascii="Calibri" w:hAnsi="Calibri"/>
          <w:b w:val="0"/>
          <w:color w:val="3A4A28"/>
          <w:sz w:val="17"/>
        </w:rPr>
        <w:t>Macerich Annapolis Mall Acquisition — $272M, Portfolio Strategy Shift to Selective Growth, StreetInsider, 2026</w:t>
      </w:r>
    </w:p>
    <w:p>
      <w:pPr>
        <w:spacing w:before="20" w:after="20"/>
        <w:ind w:left="170"/>
      </w:pPr>
      <w:r>
        <w:rPr>
          <w:rFonts w:ascii="Calibri" w:hAnsi="Calibri"/>
          <w:b/>
          <w:color w:val="4A6B25"/>
          <w:sz w:val="15"/>
        </w:rPr>
        <w:t xml:space="preserve">3. </w:t>
      </w:r>
      <w:r>
        <w:rPr>
          <w:rFonts w:ascii="Calibri" w:hAnsi="Calibri"/>
          <w:b w:val="0"/>
          <w:color w:val="3A4A28"/>
          <w:sz w:val="17"/>
        </w:rPr>
        <w:t>Macerich Corporate Website — 'Creating Properties with Purpose' Mission, ESG Commitment, macerich.com</w:t>
      </w:r>
    </w:p>
    <w:p>
      <w:pPr>
        <w:spacing w:before="20" w:after="20"/>
        <w:ind w:left="170"/>
      </w:pPr>
      <w:r>
        <w:rPr>
          <w:rFonts w:ascii="Calibri" w:hAnsi="Calibri"/>
          <w:b/>
          <w:color w:val="4A6B25"/>
          <w:sz w:val="15"/>
        </w:rPr>
        <w:t xml:space="preserve">4. </w:t>
      </w:r>
      <w:r>
        <w:rPr>
          <w:rFonts w:ascii="Calibri" w:hAnsi="Calibri"/>
          <w:b w:val="0"/>
          <w:color w:val="3A4A28"/>
          <w:sz w:val="17"/>
        </w:rPr>
        <w:t>Macerich ESG — GRESB #1 U.S. Retail (10 consecutive years), $100M Energy Investment, Net-Zero-by-2035, Sustainalytics Low Controversy Level 1.0</w:t>
      </w:r>
    </w:p>
    <w:p>
      <w:pPr>
        <w:spacing w:before="20" w:after="20"/>
        <w:ind w:left="170"/>
      </w:pPr>
      <w:r>
        <w:rPr>
          <w:rFonts w:ascii="Calibri" w:hAnsi="Calibri"/>
          <w:b/>
          <w:color w:val="4A6B25"/>
          <w:sz w:val="15"/>
        </w:rPr>
        <w:t xml:space="preserve">5. </w:t>
      </w:r>
      <w:r>
        <w:rPr>
          <w:rFonts w:ascii="Calibri" w:hAnsi="Calibri"/>
          <w:b w:val="0"/>
          <w:color w:val="3A4A28"/>
          <w:sz w:val="17"/>
        </w:rPr>
        <w:t>Glassdoor — Macerich Employee Reviews (202 reviews, 3.3/5 rating), Cultural Concerns Under New Leadership,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CEO Jackson Hsieh Insider Purchases — 140,000 shares (~$2M) May 2024, 56,000 shares (~$994K) March 2025; Dividend History 32 Years Consecutive, TipRanks, Yahoo Finance</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