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MAT</w:t>
      </w:r>
      <w:r>
        <w:rPr>
          <w:rFonts w:ascii="Calibri" w:hAnsi="Calibri"/>
          <w:b/>
          <w:color w:val="1A2010"/>
          <w:sz w:val="40"/>
        </w:rPr>
        <w:t xml:space="preserve">  Mattel, Inc.</w:t>
      </w:r>
    </w:p>
    <w:p>
      <w:pPr>
        <w:spacing w:after="120"/>
      </w:pPr>
      <w:r>
        <w:rPr>
          <w:rFonts w:ascii="Calibri" w:hAnsi="Calibri"/>
          <w:b/>
          <w:color w:val="6E8450"/>
          <w:sz w:val="18"/>
        </w:rPr>
        <w:t>GROWTH SLEEVE · 2026-10-20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NMS · United States</w:t>
      </w:r>
    </w:p>
    <w:p>
      <w:pPr>
        <w:spacing w:after="80"/>
      </w:pPr>
      <w:r>
        <w:rPr>
          <w:rFonts w:ascii="Calibri" w:hAnsi="Calibri"/>
          <w:b w:val="0"/>
          <w:color w:val="3A4A28"/>
          <w:sz w:val="20"/>
        </w:rPr>
        <w:t>Mattel designs, manufactures, and markets toys and family entertainment content across Barbie, Hot Wheels, Fisher-Price, American Girl, and licensed brands including Disney, WWE, Minecraft, and Jurassic World. Under Chairman/CEO Ynon Kreiz, the company has transformed from a pure toy manufacturer into an IP-driven entertainment company, cutting over 40% of its product line and partnering with OpenAI to develop AI-powered play experiences [2][3]. Q2 2026 net sales grew 10% (+9% constant currency) with North America up 12%, though adjusted operating income fell to $39M from $96M on tariff and investment headwinds. Full-year 2026 guidance reaffirmed at 3-6% CC growth and adjusted EPS of $1.27-$1.39 [1]. Founded 1945, headquartered in El Segundo, California.</w:t>
      </w:r>
    </w:p>
    <w:p>
      <w:r>
        <w:rPr>
          <w:rFonts w:ascii="Calibri" w:hAnsi="Calibri"/>
          <w:b/>
          <w:color w:val="6E8450"/>
          <w:sz w:val="18"/>
        </w:rPr>
        <w:t>31,000 Employees · https://corporate.mattel.com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Kreiz led a transformative pivot from a pure toy manufacturer into an IP-driven entertainment company, cutting over 40% of the product line, reducing non-manufacturing headcount from 13,500 to 8,000, and establishing Mattel Films — which produced the $1.44B-grossing Barbie movie (2023), the most successful brand-to-film adaptation in history — while diversifying revenue into entertainment licensing, games, and digital products [2]. AI Deployment (1/2): In June 2025, Mattel announced a strategic partnership with OpenAI to develop AI-powered products across Barbie, Hot Wheels, and other brands, including ChatGPT Enterprise for internal operations, with concepts including interactive Barbie storytelling and AI-suggested Hot Wheels track stunts [3]. However, no AI-powered products have shipped and no quantified revenue or savings have been reported. Market Share (1/2): Mattel holds leading positions in dolls (Barbie), die-cast vehicles (Hot Wheels), and infant/preschool (Fisher-Price), with Q2 2026 North America sales up 12%, but no specific market-share percentage or share-gain data against Hasbro or LEGO was cited [1]. Product Pipeline (1/2): OpenAI partnership products, new IP partnerships (KPop Demon Hunters, Minecraft, Jurassic World), and the Mattel Films pipeline extend the brand portfolio, but no specific launch dates or revenue visibility figures for next-generation products were disclosed. R&amp;D Intensity (0/1): No R&amp;D-as-%-of-revenue data relative to leisure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Mattel's purpose — 'empowering the next generation to explore the wonder of childhood and reach their full potential' — is clear and connects toys to childhood development, and Kreiz has articulated a 'culture of innovation centered on the power of play' that shapes the IP-entertainment strategy [2]. However, the purpose has been tied primarily to a commercial turnaround narrative rather than a decades-validated mission, and it's not sharply differentiated from peers like Hasbro's 'making the world a better place for all children.' Community &amp; Charitable Impact (0/2): No specific charitable-giving dollar figures or distinctive community programs were found; ESG disclosures emphasize pay equity and GHG targets rather than community investment [4]. Employee Retention (0/2): Non-manufacturing headcount was cut from 13,500 to 8,000 as part of the turnaround restructuring — evidence of workforce reduction, not retention strength [2]. Insider Buying (0/2): No evidence of meaningful net insider buying by CEO Kreiz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(PEG 2x, ROE 2x, Revenue Growth 5yr CAGR 2x weights). Forward P/E of 10.7x scores at the 1.0 cap, reflecting deep value pricing for a consumer brand company, and Forward PEG of 1.18 scores 0.91 (2x weight) [5]. ROE of 20.5% clears the 15% target (score 1.0, 2x weight), and Revenue Growth YoY of 10.5% narrowly hits the target (score 1.0) [1]. D/E of 137.4% scores 0.71, moderately above the 70% target but well below the 300% floor, with manageable $2.75B total debt against $666M operating cash flow. The main drags are profit margin of 7.8% (score 0.39), well below the 20% target and compressed by tariff and investment headwinds, and Revenue Growth 5yr CAGR of approximately 0.1% (score 0.34, 2x weight), reflecting essentially flat revenue from FY2021 ($5.46B) to TTM 2026 ($5.49B) before the current growth acceleration. Liquidity check: $94M daily dollar volume ($16.88 x 5.5M shares) clears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Mattel's transformation under Kreiz from toy manufacturer to IP-driven entertainment company is a genuine strategic reinvention validated by the $1.44B Barbie movie and Q2 2026 10% sales growth. The 40% product-line cut and massive workforce reduction demonstrate existential flexibility and courage to disrupt the legacy model. But Sinek's lens asks whether this was driven by a Just Cause or by commercial necessity following years of underperformance — the evidence points more toward a well-executed commercial turnaround than a purpose tested across market cycles, and the scale of layoffs runs counter to a high-trust organizational read.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Kreiz frames the mission around 'the power of play' and cultural impact, but available public communications center on commercial transformation metrics — product-line cuts, headcount reduction, IP monetization, shareholder returns — rather than an idealistic, service-oriented cause that predates the turnaround and invites others to contribute to a better future [2]. The 'wonder of childhood' purpose is genuine but functions more as brand positioning than a cause that drives painful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reduction of non-manufacturing headcount from 13,500 to 8,000 — more than 40% — is significant organizational disruption that conflicts with Sinek's Circle of Safety ideal [2]. No offsetting evidence of high trust, low voluntary turnover, or long average employee tenure was found. Critics of AI-powered toys have also raised privacy and safety concerns about exposing children to AI products, adding a trust dimension to product development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competitors (Hasbro, LEGO, Nintendo) as worthy rivals whose strengths sharpen Mattel's strategy was found. Competitive language focuses on market position and IP monetization rather than learning from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Mattel fundamentally reinvented its business model from a pure toy manufacturer into an IP-driven entertainment company producing movies, games, and digital products — cutting over 40% of its product line in the process and establishing Mattel Films as a new revenue engine [2]. The $1.44B Barbie movie demonstrated that toy IP can be monetized through entertainment at massive scale. The June 2025 OpenAI partnership extends this reinvention into AI-powered play experiences, showing continued willingness to evolve the model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Cutting 40% of the product line and reducing non-manufacturing headcount by nearly 40% represents a costly, disruptive near-term decision made in service of the longer-term IP-entertainment strategy [2]. The Barbie movie bet was bold — committing to a live-action film that could have damaged the brand — and paid off spectacularly ($1.44B global box office). However, these decisions were made under pressure from years of declining performance, not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MAT at $16.88 with a $4.8B market cap is an IP-driven entertainment transformation story trading at deeply discounted value metrics — Forward P/E of 10.7x and PEG of 1.18 — with Q2 2026 net sales growing 10% led by 12% North America gains in Vehicles and Action Figures [1]. CEO Kreiz's pivot from pure toy manufacturing to IP monetization (Barbie movie: $1.44B global box office) and the June 2025 OpenAI partnership to develop AI-powered Barbie, Hot Wheels, and other brand experiences position Mattel at the intersection of physical play and digital innovation [2][3]. ROE of 20.5% exceeds the 15% target, operating cash flow of $666M supports debt service on $2.75B total debt, and management guides mid-to-high single-digit revenue growth and double-digit adjusted operating income growth for 2027. The Optimizing for Profitable Growth program continues to deliver productivity savings.</w:t>
      </w:r>
    </w:p>
    <w:p>
      <w:pPr>
        <w:spacing w:after="120"/>
      </w:pPr>
      <w:r>
        <w:rPr>
          <w:rFonts w:ascii="Calibri" w:hAnsi="Calibri"/>
          <w:b w:val="0"/>
          <w:color w:val="3A4A28"/>
          <w:sz w:val="20"/>
        </w:rPr>
        <w:t>The bear case centers on tariff pressure, thin margins, and unproven growth durability. Tariffs compressed Q2 2026 gross margin by 170bps to 48.2% (from 50.9% a year earlier), and adjusted operating income collapsed to $39M from $96M, with adjusted EPS falling to $0.01 from $0.21 — demonstrating how sensitive the P&amp;L is to cost headwinds at only 7.8% profit margin [1]. The 5-year revenue CAGR of essentially 0% shows the current growth reacceleration follows years of flat-to-declining sales ($5.43B in 2022 to $5.35B in 2025), so the durability of the IP-entertainment strategy beyond a post-restructuring bounce is not yet proven. The 40%+ reduction in non-manufacturing headcount, while strategically justified, leaves organizational trust questions, and critics have raised privacy and safety concerns about the OpenAI partnership exposing children to AI-powered products [3]. No dividend is paid, limiting the capital return story to buybacks.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 partnership (announced June 2025) developing AI-powered play experiences across Barbie, Hot Wheels, and other brands — first AI-powered products expected to ship, which could open a new digital revenue stream and differentiate Mattel from traditional toy competitors [3]</w:t>
      </w:r>
    </w:p>
    <w:p>
      <w:pPr>
        <w:spacing w:before="40" w:after="40"/>
        <w:ind w:left="283"/>
      </w:pPr>
      <w:r>
        <w:rPr>
          <w:rFonts w:ascii="Calibri" w:hAnsi="Calibri"/>
          <w:b/>
          <w:color w:val="4A6B25"/>
          <w:sz w:val="20"/>
        </w:rPr>
        <w:t xml:space="preserve">2. </w:t>
      </w:r>
      <w:r>
        <w:rPr>
          <w:rFonts w:ascii="Calibri" w:hAnsi="Calibri"/>
          <w:b w:val="0"/>
          <w:color w:val="3A4A28"/>
          <w:sz w:val="20"/>
        </w:rPr>
        <w:t>Continued momentum in Vehicles (Hot Wheels) and Action Figures that drove 10% Q2 2026 sales growth, with North America posting 12% gains and management confirming growth continued into Q3 [1]</w:t>
      </w:r>
    </w:p>
    <w:p>
      <w:pPr>
        <w:spacing w:before="40" w:after="40"/>
        <w:ind w:left="283"/>
      </w:pPr>
      <w:r>
        <w:rPr>
          <w:rFonts w:ascii="Calibri" w:hAnsi="Calibri"/>
          <w:b/>
          <w:color w:val="4A6B25"/>
          <w:sz w:val="20"/>
        </w:rPr>
        <w:t xml:space="preserve">3. </w:t>
      </w:r>
      <w:r>
        <w:rPr>
          <w:rFonts w:ascii="Calibri" w:hAnsi="Calibri"/>
          <w:b w:val="0"/>
          <w:color w:val="3A4A28"/>
          <w:sz w:val="20"/>
        </w:rPr>
        <w:t>Management guidance for mid-to-high single-digit revenue growth and double-digit adjusted operating income growth in 2027, with OPG productivity program and supply chain diversification expected to mitigate tariff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Tariff-driven gross margin compression of 170-240bps per quarter, which collapsed Q2 2026 adjusted operating income to $39M from $96M and adjusted EPS to $0.01 from $0.21 — at 7.8% profit margin, small cost increases have outsized earnings impact [1]</w:t>
      </w:r>
    </w:p>
    <w:p>
      <w:pPr>
        <w:spacing w:before="40" w:after="40"/>
        <w:ind w:left="283"/>
      </w:pPr>
      <w:r>
        <w:rPr>
          <w:rFonts w:ascii="Calibri" w:hAnsi="Calibri"/>
          <w:b/>
          <w:color w:val="4A6B25"/>
          <w:sz w:val="20"/>
        </w:rPr>
        <w:t xml:space="preserve">2. </w:t>
      </w:r>
      <w:r>
        <w:rPr>
          <w:rFonts w:ascii="Calibri" w:hAnsi="Calibri"/>
          <w:b w:val="0"/>
          <w:color w:val="3A4A28"/>
          <w:sz w:val="20"/>
        </w:rPr>
        <w:t>Five-year revenue CAGR of essentially 0% indicates the current 10% growth reacceleration follows years of stagnation ($5.43B to $5.35B from 2022-2025), raising durability questions about whether IP-driven growth persists beyond restructuring tailwinds</w:t>
      </w:r>
    </w:p>
    <w:p>
      <w:pPr>
        <w:spacing w:before="40" w:after="40"/>
        <w:ind w:left="283"/>
      </w:pPr>
      <w:r>
        <w:rPr>
          <w:rFonts w:ascii="Calibri" w:hAnsi="Calibri"/>
          <w:b/>
          <w:color w:val="4A6B25"/>
          <w:sz w:val="20"/>
        </w:rPr>
        <w:t xml:space="preserve">3. </w:t>
      </w:r>
      <w:r>
        <w:rPr>
          <w:rFonts w:ascii="Calibri" w:hAnsi="Calibri"/>
          <w:b w:val="0"/>
          <w:color w:val="3A4A28"/>
          <w:sz w:val="20"/>
        </w:rPr>
        <w:t>Privacy and safety concerns around the OpenAI partnership and AI-powered toys for children, with critics warning that AI products could expose children to inappropriate content or limit play-related creativity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Mattel's core business — physical toy manufacturing and design tied to iconic owned/licensed IP (Barbie, Hot Wheels, Fisher-Price, Disney) — has meaningful defensive moats against AI substitution, since AI cannot manufacture or physically deliver toys, and brand loyalty built over 81 years is not easily replicated [5]. Gaming licenses in Macao require physical infrastructure that AI cannot bypass. Some exposure exists in digital content creation, marketing, and the entertainment arm where generative AI tools could enable competitors, and AI-powered digital entertainment continues to compete for children's attention against physical toys. No analyst commentary flagging material AI disruption risk to Mattel was found. AI Opportunity (0/1): The June 2025 OpenAI partnership is strategic and ambitious — AI-powered Barbie storytelling, AI-suggested Hot Wheels experiences — but no products have shipped and no quantified revenue is attributable to AI [3]. Management describes AI as 'accelerating product development without replacing creativity' but has not disclosed specific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Mattel Q1-Q2 2026 Earnings — Q1 net sales ~$862M, Q2 net sales +10% (+9% CC), North America +12%, gross margin 48.2% (-270bps), adj operating income $39M vs $96M, adj EPS $0.01, full-year guidance 3-6% CC growth, adj EPS $1.27-$1.39 — Senal News, MarketBeat, Spielwarenmesse, 2026</w:t>
      </w:r>
    </w:p>
    <w:p>
      <w:pPr>
        <w:spacing w:before="20" w:after="20"/>
        <w:ind w:left="170"/>
      </w:pPr>
      <w:r>
        <w:rPr>
          <w:rFonts w:ascii="Calibri" w:hAnsi="Calibri"/>
          <w:b/>
          <w:color w:val="4A6B25"/>
          <w:sz w:val="15"/>
        </w:rPr>
        <w:t xml:space="preserve">2. </w:t>
      </w:r>
      <w:r>
        <w:rPr>
          <w:rFonts w:ascii="Calibri" w:hAnsi="Calibri"/>
          <w:b w:val="0"/>
          <w:color w:val="3A4A28"/>
          <w:sz w:val="17"/>
        </w:rPr>
        <w:t>Mattel IP Transformation Under Ynon Kreiz — Product line cut 40%, non-manufacturing headcount 13,500 to 8,000, Barbie movie $1.44B global box office, IP-driven entertainment model — HBR, MarketBeat Q4 2025 call, 2025-2026</w:t>
      </w:r>
    </w:p>
    <w:p>
      <w:pPr>
        <w:spacing w:before="20" w:after="20"/>
        <w:ind w:left="170"/>
      </w:pPr>
      <w:r>
        <w:rPr>
          <w:rFonts w:ascii="Calibri" w:hAnsi="Calibri"/>
          <w:b/>
          <w:color w:val="4A6B25"/>
          <w:sz w:val="15"/>
        </w:rPr>
        <w:t xml:space="preserve">3. </w:t>
      </w:r>
      <w:r>
        <w:rPr>
          <w:rFonts w:ascii="Calibri" w:hAnsi="Calibri"/>
          <w:b w:val="0"/>
          <w:color w:val="3A4A28"/>
          <w:sz w:val="17"/>
        </w:rPr>
        <w:t>Mattel-OpenAI Partnership — AI-powered Barbie storytelling, Hot Wheels experiences, ChatGPT Enterprise for internal operations, first AI products expected — Retail Dive, MovieGuide, CP24/BNN Bloomberg, June 2025</w:t>
      </w:r>
    </w:p>
    <w:p>
      <w:pPr>
        <w:spacing w:before="20" w:after="20"/>
        <w:ind w:left="170"/>
      </w:pPr>
      <w:r>
        <w:rPr>
          <w:rFonts w:ascii="Calibri" w:hAnsi="Calibri"/>
          <w:b/>
          <w:color w:val="4A6B25"/>
          <w:sz w:val="15"/>
        </w:rPr>
        <w:t xml:space="preserve">4. </w:t>
      </w:r>
      <w:r>
        <w:rPr>
          <w:rFonts w:ascii="Calibri" w:hAnsi="Calibri"/>
          <w:b w:val="0"/>
          <w:color w:val="3A4A28"/>
          <w:sz w:val="17"/>
        </w:rPr>
        <w:t>Mattel ESG — 2007 toy recalls and corporate responsibility reorganization, 2011 Greenpeace deforestation campaign, Newsweek 2025 Responsible Companies ranking 27th in Retail/Consumer — SEC Filings, Greenpeace, Newsweek</w:t>
      </w:r>
    </w:p>
    <w:p>
      <w:pPr>
        <w:spacing w:before="20" w:after="20"/>
        <w:ind w:left="170"/>
      </w:pPr>
      <w:r>
        <w:rPr>
          <w:rFonts w:ascii="Calibri" w:hAnsi="Calibri"/>
          <w:b/>
          <w:color w:val="4A6B25"/>
          <w:sz w:val="15"/>
        </w:rPr>
        <w:t xml:space="preserve">5. </w:t>
      </w:r>
      <w:r>
        <w:rPr>
          <w:rFonts w:ascii="Calibri" w:hAnsi="Calibri"/>
          <w:b w:val="0"/>
          <w:color w:val="3A4A28"/>
          <w:sz w:val="17"/>
        </w:rPr>
        <w:t>Yahoo Finance — MAT key statistics: Forward P/E 10.7x, PEG 1.18, D/E 137.4%, ROE 20.5%, stock price $16.88, avg volume 5.5M,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