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w:t>
      </w:r>
      <w:r>
        <w:rPr>
          <w:rFonts w:ascii="Calibri" w:hAnsi="Calibri"/>
          <w:b/>
          <w:color w:val="1A2010"/>
          <w:sz w:val="40"/>
        </w:rPr>
        <w:t xml:space="preserve">  Mastercard Incorporated</w:t>
      </w:r>
    </w:p>
    <w:p>
      <w:pPr>
        <w:spacing w:after="120"/>
      </w:pPr>
      <w:r>
        <w:rPr>
          <w:rFonts w:ascii="Calibri" w:hAnsi="Calibri"/>
          <w:b/>
          <w:color w:val="6E8450"/>
          <w:sz w:val="18"/>
        </w:rPr>
        <w:t>GROWTH SLEEVE · 2026-09-01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States</w:t>
      </w:r>
    </w:p>
    <w:p>
      <w:pPr>
        <w:spacing w:after="80"/>
      </w:pPr>
      <w:r>
        <w:rPr>
          <w:rFonts w:ascii="Calibri" w:hAnsi="Calibri"/>
          <w:b w:val="0"/>
          <w:color w:val="3A4A28"/>
          <w:sz w:val="20"/>
        </w:rPr>
        <w:t>Mastercard Incorporated is a global technology company in the payments industry that connects consumers, financial institutions, merchants, governments, and businesses through electronic payment processing. The company operates the world's second-largest payment network (behind Visa), processing billions of transactions annually across more than 210 countries and territories. Revenue is driven by payment network fees, cross-border transaction processing, and a rapidly growing value-added services segment including cybersecurity, data analytics, and AI-powered solutions. Q2 2026 revenue of $9.28B (+14% YoY) with adjusted EPS of $5.04 (+22%). Market cap approximately $535B.</w:t>
      </w:r>
    </w:p>
    <w:p>
      <w:r>
        <w:rPr>
          <w:rFonts w:ascii="Calibri" w:hAnsi="Calibri"/>
          <w:b/>
          <w:color w:val="6E8450"/>
          <w:sz w:val="18"/>
        </w:rPr>
        <w:t>39,800 Employees · https://www.mastercard.com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Mastercard has successfully transformed from a card payment network into a diversified technology company. Q2 2026 revenue of $9.28B (+14% YoY) beat consensus of $9.08B, with value-added services growing 20% and payment network revenue up 10% [1][5]. The company has expanded into open banking (Aiia), cybersecurity (Recorded Future), digital identity, and real-time payment infrastructure. AI-powered fraud prevention has stopped $47.9B in fraud losses over three years [2]. AI Deployment (2/2): Mastercard launched Virtual C-Suite in March 2026, an agentic AI experience for small businesses, and has invested in AI for over a decade. The AI-powered fraud detection and cybersecurity solutions represent deployed, revenue-generating AI at scale [2]. CEO Miebach positions AI as spanning 'the full commerce lifecycle, leveraging decades of leadership in payments, data and security.' Market Share (2/2): Duopoly position (with Visa) in global card payment processing across 210+ countries. Q2 2026 EPS of $5.04 (+22% adjusted) demonstrates continued share gains in digital payments [5]. Product Pipeline (1/2): Value-added services pipeline growing 20%, Virtual C-Suite launched, and cybersecurity/digital identity expansion continuing. However, no single transformative next-gen product with specific revenue targets [1][2]. R&amp;D Intensity (1/1): Technology investment across 39,800 employees with consistent AI, cybersecurity, and infrastructure spend well above financial services industry norms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Mastercard's purpose of 'connecting everyone to priceless possibilities' anchored by three strategic pillars — People, Prosperity, Planet — reflects genuine intentionality and has driven strategic decisions including the commitment to connect 1 billion people to the digital economy [3]. CPO Michael Fraccaro states innovation is 'one of the standards within our cultural statements about how we create value,' and the company was ranked among the World's Most Admired Companies in 2024 [2]. The purpose survived the leadership transition from Ajay Banga to Michael Miebach and continues to shape strategic direction. Community Impact (2/2): Mastercard's Center for Inclusive Growth, financial inclusion programs in underserved markets, carbon neutrality commitments, and executive compensation linked to ESG performance (financial inclusion, gender pay equity, GHG emissions) demonstrate significant community investment aligned with the company's purpose [3]. The Mastercard Foundation (independent) is one of the world's largest private foundations. Employee Retention (1/2): Korn Ferry highlighted how Mastercard's innovation culture fuels growth, with leadership creating an 'environment where ideas can come from anywhere' [2]. The company's ranking among World's Most Admired Companies and orderly leadership transitions suggest healthy organizational culture, though specific retention or tenure data is not publicly available. Insider Buying (0/2): No meaningful open-market insider buying identified. The company executes massive corporate buybacks ($5.7B in Q1+April 2026), but these are corporate programs, not personal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cleared: ~4.3M avg volume x $590 = ~$2.54B daily dollar volume [4]. Calculated mechanically on growth-stock metrics. D/E of 440% scores 0.0 (1x weight) — elevated by Mastercard's aggressive share buyback program, though $17.8B+ annual FCF comfortably services debt [1][4]. ROE of 241.2% scores 1.0 (2x weight) — exceptionally high due to reduced equity base from buybacks, reflecting extraordinary capital efficiency [4]. Revenue growth YoY of 14.0% scores 1.0 (1x weight) — Q2 2026 revenue $9.28B (+14%), consistent double-digit growth [5]. Revenue growth 5yr CAGR of approximately 16% scores 1.0 (2x weight) — from $15.3B in 2020 to $32.8B in 2025 [4]. Forward P/E of 28.18 scores 0.80 (1x weight) — premium to the 20x target but below the 60x floor [4]. Profit margin of 46.3% scores 1.0 (1x weight) — world-class profitability reflecting the network effect business model [4]. Forward PEG unavailable (excluded). Weighted sum: 6.80 / max 8.0 x 10 = 8.49, rounded to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Mastercard exhibits strong infinite game characteristics across most dimensions. The company's purpose of connecting everyone to priceless possibilities has survived leadership transitions (Banga to Miebach) and consistently drives strategic decisions including financial inclusion investments, cybersecurity expansion, and linking executive compensation to ESG metrics. The acknowledgment of Visa as a worthy rival and consistent evolution of business model from card network to technology platform reflect infinite thinking. However, the comfortable duopoly position reduces the urgency of truly courageous bets — Mastercard's competitive advantages are so strong that meaningful sacrifice is rarely required.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Mastercard's purpose of connecting everyone to priceless possibilities, operationalized through the commitment to bring 1 billion people into the digital economy and the three strategic pillars (People, Prosperity, Planet), is genuine, distinctive, and validated by consistent strategic decisions [3]. Financial inclusion investments in underserved markets, ESG-linked executive compensation, and the Mastercard Foundation's global impact all trace back to this purpose. The cause survived the leadership transition from Ajay Banga (now World Bank President) to Michael Miebach, demonstrating durability. However, Mastercard's purpose has not yet been tested by crisis in the way that would earn a 3 — the company's dominant market position has not required sacrificing profitability in service of its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CPO Michael Fraccaro attributes Mastercard's growth partly to a culture of innovation where 'ideas can come from anywhere,' and the company ranks among the World's Most Admired Companies [2]. Leadership transitions have been orderly, with the Banga-to-Miebach succession well-planned. The recent leadership restructuring under Miebach appears strategic (creating new roles to drive growth) rather than disruptive [2]. However, specific retention data, tenure metrics, or evidence of exceptional psychological safety beyond corporate statements is not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Mastercard operates in a duopoly with Visa where competitive pressure has driven both companies to continuously innovate — expanding from card payments into cybersecurity, digital identity, open banking, and AI services [1]. CEO Miebach's strategic decisions (value-added services, acquisitions) reflect awareness that the payment landscape is evolving and that standing still means falling behind. The company frames competition constructively, focusing on expanding the digital payments ecosystem rather than defeating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Mastercard has evolved from a bank-owned cooperative card network into a public technology company with diversified revenue streams including cybersecurity (Recorded Future), open banking (Aiia), digital identity, and AI-powered analytics [1][2]. Value-added services growing 22% demonstrates successful adjacency expansion. However, the core business model — processing card transactions for a fee — remains fundamentally unchanged. The evolution has been incremental layering of services onto the existing network, not a transformative pivot that abandoned the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Mastercard has made long-term investments in financial inclusion in underserved markets (where near-term returns are uncertain), acquired Recorded Future for cybersecurity capabilities, and linked executive compensation to ESG metrics at a time when this is politically controversial in the US [3]. CEO Miebach's strategic restructuring to position for AI and growth represents forward-looking leadership. However, Mastercard's extraordinary profitability (45.9% net margin, $17.8B FCF) means these investments carry minimal financial risk — the company is investing from a position of overwhelming strength, which reduces the 'courage' element.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Mastercard delivered another beat in Q2 2026: revenue of $9.28B (+14% YoY, beating $9.08B consensus), net income of $4.39B, and adjusted EPS of $5.04 (+22%, beating $4.77 est) [5]. Value-added services revenue grew 20% and payment network revenue rose 10%, driven by cross-border activity and security/digital authentication solutions. TTM revenue of $35.08B with $16.26B profit demonstrates extraordinary business quality [4]. The duopoly position in global card payments creates a structural competitive moat with massive network effects, regulatory barriers, and switching costs. At 28.18x forward earnings, the stock is premium but supported by consistent mid-teens revenue growth, 46.3% profit margins, and $17.8B+ annual FCF funding aggressive buybacks [4]. AI-powered fraud prevention stopping $47.9B in fraud losses and the Virtual C-Suite launch expand the revenue-per-transaction opportunity [2].</w:t>
      </w:r>
    </w:p>
    <w:p>
      <w:pPr>
        <w:spacing w:after="120"/>
      </w:pPr>
      <w:r>
        <w:rPr>
          <w:rFonts w:ascii="Calibri" w:hAnsi="Calibri"/>
          <w:b w:val="0"/>
          <w:color w:val="3A4A28"/>
          <w:sz w:val="20"/>
        </w:rPr>
        <w:t>The primary risk is valuation at elevated multiples. At 32.95x trailing earnings and a ~$535B market cap, Mastercard is priced for sustained mid-teens revenue growth, leaving limited margin of safety if macroeconomic conditions deteriorate [4]. D/E of 440% (from aggressive buybacks) creates financial leverage that amplifies downside in a recession scenario, though $17.8B+ annual FCF provides comfortable coverage. Revenue growth decelerated from 16% in Q1 to 14% in Q2 2026, and any further moderation could pressure the multiple [1][5]. Regulatory risk persists: EU Interchange Fee Regulation, US CFPB scrutiny, and potential antitrust challenges to the Visa/Mastercard duopoly could structurally compress economics. The Inspire Impact Score of -67 (MISALIGNED) due to Abortion Activism and LGBT Activism attributions creates a significant faith alignment consideration for IOWN investors — this is notably negative despite 21 positive ESG attributions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Value-added services revenue sustaining 20% growth as AI-powered products (Virtual C-Suite, $47.9B fraud prevention, cybersecurity) expand revenue per transaction beyond traditional network fees [2][5]</w:t>
      </w:r>
    </w:p>
    <w:p>
      <w:pPr>
        <w:spacing w:before="40" w:after="40"/>
        <w:ind w:left="283"/>
      </w:pPr>
      <w:r>
        <w:rPr>
          <w:rFonts w:ascii="Calibri" w:hAnsi="Calibri"/>
          <w:b/>
          <w:color w:val="4A6B25"/>
          <w:sz w:val="20"/>
        </w:rPr>
        <w:t xml:space="preserve">2. </w:t>
      </w:r>
      <w:r>
        <w:rPr>
          <w:rFonts w:ascii="Calibri" w:hAnsi="Calibri"/>
          <w:b w:val="0"/>
          <w:color w:val="3A4A28"/>
          <w:sz w:val="20"/>
        </w:rPr>
        <w:t>Cross-border transaction volume driving the highest-margin revenue stream, with Q2 2026 cross-border activity cited as a key growth driver alongside global travel and e-commerce expansion [5]</w:t>
      </w:r>
    </w:p>
    <w:p>
      <w:pPr>
        <w:spacing w:before="40" w:after="40"/>
        <w:ind w:left="283"/>
      </w:pPr>
      <w:r>
        <w:rPr>
          <w:rFonts w:ascii="Calibri" w:hAnsi="Calibri"/>
          <w:b/>
          <w:color w:val="4A6B25"/>
          <w:sz w:val="20"/>
        </w:rPr>
        <w:t xml:space="preserve">3. </w:t>
      </w:r>
      <w:r>
        <w:rPr>
          <w:rFonts w:ascii="Calibri" w:hAnsi="Calibri"/>
          <w:b w:val="0"/>
          <w:color w:val="3A4A28"/>
          <w:sz w:val="20"/>
        </w:rPr>
        <w:t>EPS growth of 22% in Q2 2026 with operating leverage on 14% revenue growth, demonstrating the network effect's ability to convert top-line growth into disproportionate earnings power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premium at 32.95x trailing P/E and 28.18x forward P/E requires sustained mid-teens revenue growth — revenue growth moderated from 16% in Q1 to 14% in Q2, and any further deceleration or consumer spending weakness could trigger multiple compression [4][5]</w:t>
      </w:r>
    </w:p>
    <w:p>
      <w:pPr>
        <w:spacing w:before="40" w:after="40"/>
        <w:ind w:left="283"/>
      </w:pPr>
      <w:r>
        <w:rPr>
          <w:rFonts w:ascii="Calibri" w:hAnsi="Calibri"/>
          <w:b/>
          <w:color w:val="4A6B25"/>
          <w:sz w:val="20"/>
        </w:rPr>
        <w:t xml:space="preserve">2. </w:t>
      </w:r>
      <w:r>
        <w:rPr>
          <w:rFonts w:ascii="Calibri" w:hAnsi="Calibri"/>
          <w:b w:val="0"/>
          <w:color w:val="3A4A28"/>
          <w:sz w:val="20"/>
        </w:rPr>
        <w:t>Regulatory pressure from EU Interchange Fee Regulation, US CFPB scrutiny, and potential antitrust challenges to the Visa/Mastercard duopoly could structurally compress interchange economics and network fees [3]</w:t>
      </w:r>
    </w:p>
    <w:p>
      <w:pPr>
        <w:spacing w:before="40" w:after="40"/>
        <w:ind w:left="283"/>
      </w:pPr>
      <w:r>
        <w:rPr>
          <w:rFonts w:ascii="Calibri" w:hAnsi="Calibri"/>
          <w:b/>
          <w:color w:val="4A6B25"/>
          <w:sz w:val="20"/>
        </w:rPr>
        <w:t xml:space="preserve">3. </w:t>
      </w:r>
      <w:r>
        <w:rPr>
          <w:rFonts w:ascii="Calibri" w:hAnsi="Calibri"/>
          <w:b w:val="0"/>
          <w:color w:val="3A4A28"/>
          <w:sz w:val="20"/>
        </w:rPr>
        <w:t>D/E of 440% from aggressive buybacks creates financial leverage that amplifies downside in a recession scenario — $24.64B in debt against $11.61B cash, though $17.8B+ annual FCF provides coverage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Mastercard's global payment network is essential financial infrastructure deeply embedded into merchant acquiring systems, bank card issuance, and consumer wallets across 210+ countries [1]. The network effects, regulatory requirements (PCI-DSS compliance, banking regulations), and integration complexity create massive switching costs that AI structurally cannot displace — you cannot process a Mastercard transaction without the Mastercard network. Cross-border payment processing requires regulatory compliance across multiple jurisdictions that AI alone cannot navigate. Alternative payment methods (BNPL, crypto, real-time bank transfers) have emerged but predominantly still ride on card network rails, and global card payment volume continues to grow [1]. The primary theoretical risk is that AI-powered financial infrastructure could eventually enable seamless bank-to-bank transfers that bypass card networks entirely, but this has not materialized at scale despite decades of attempts. AI Opportunity (1/1): Mastercard generates meaningful AI-driven revenue through its fraud detection platform, cybersecurity services (Recorded Future acquisition), data analytics offerings, and the newly launched Virtual C-Suite agentic AI for small businesses [2]. Value-added services (which include AI-powered products) grew 22% in Q1 2026 and represent a significant, quantifiable revenue stream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Mastercard Q1 2026 Earnings Release — $8.4B revenue, $3.9B net income, 22% value-added services growth, TIKR/MLQ/Yahoo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FinTech Magazine, Mastercard Newsroom — CEO Miebach leadership, Virtual C-Suite AI launch, innovation culture, Korn Ferry analysis, 2025-2026</w:t>
      </w:r>
    </w:p>
    <w:p>
      <w:pPr>
        <w:spacing w:before="20" w:after="20"/>
        <w:ind w:left="170"/>
      </w:pPr>
      <w:r>
        <w:rPr>
          <w:rFonts w:ascii="Calibri" w:hAnsi="Calibri"/>
          <w:b/>
          <w:color w:val="4A6B25"/>
          <w:sz w:val="15"/>
        </w:rPr>
        <w:t xml:space="preserve">3. </w:t>
      </w:r>
      <w:r>
        <w:rPr>
          <w:rFonts w:ascii="Calibri" w:hAnsi="Calibri"/>
          <w:b w:val="0"/>
          <w:color w:val="3A4A28"/>
          <w:sz w:val="17"/>
        </w:rPr>
        <w:t>Mastercard ESG Strategy — People/Prosperity/Planet pillars, ESG-linked compensation, financial inclusion commitments, SEC proxy filing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Yahoo Finance — MA financial data: stock price ~$590, PE 32.95, D/E 440%, ROE 241.2%, profit margin 46.34%, TTM revenue $35.08B,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Mastercard Q2 2026 Earnings Release — Revenue $9.28B (+14% YoY), net income $4.39B, adjusted EPS $5.04 (+22%), value-added services +20%, payment network +10%,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