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MCHP</w:t>
      </w:r>
      <w:r>
        <w:rPr>
          <w:rFonts w:ascii="Calibri" w:hAnsi="Calibri"/>
          <w:b/>
          <w:color w:val="1A2010"/>
          <w:sz w:val="40"/>
        </w:rPr>
        <w:t xml:space="preserve">  Microchip Technology Incorporated</w:t>
      </w:r>
    </w:p>
    <w:p>
      <w:pPr>
        <w:spacing w:after="120"/>
      </w:pPr>
      <w:r>
        <w:rPr>
          <w:rFonts w:ascii="Calibri" w:hAnsi="Calibri"/>
          <w:b/>
          <w:color w:val="6E8450"/>
          <w:sz w:val="18"/>
        </w:rPr>
        <w:t>DIVIDEND SLEEVE · 2026-10-10 · Inspire: 55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Semiconductors · NMS · United States</w:t>
      </w:r>
    </w:p>
    <w:p>
      <w:pPr>
        <w:spacing w:after="80"/>
      </w:pPr>
      <w:r>
        <w:rPr>
          <w:rFonts w:ascii="Calibri" w:hAnsi="Calibri"/>
          <w:b w:val="0"/>
          <w:color w:val="3A4A28"/>
          <w:sz w:val="20"/>
        </w:rPr>
        <w:t>Microchip Technology Incorporated develops, manufactures, and sells smart, connected, and secure embedded control solutions across the Americas, Europe, and Asia. The company offers 8-bit through 64-bit microcontrollers, microprocessors, analog products, FPGAs, and memory devices serving automotive, industrial, computing, communications, and IoT applications. Revenue is recovering from a severe cyclical downturn, with Q1 FY2027 (June 2026) net sales of $1.485B (+38% YoY) and data center revenue growing 97.8%.</w:t>
      </w:r>
    </w:p>
    <w:p>
      <w:r>
        <w:rPr>
          <w:rFonts w:ascii="Calibri" w:hAnsi="Calibri"/>
          <w:b/>
          <w:color w:val="6E8450"/>
          <w:sz w:val="18"/>
        </w:rPr>
        <w:t>17,900 Employees · https://www.microchip.com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Microchip expanded its addressable market through transformative acquisitions — Atmel in 2016 ($3.6B) and Microsemi in 2018 ($8.4B) — evolving from a microcontroller-focused company to a broad-based embedded solutions provider spanning MCUs, FPGAs, analog, and timing products [1][3]. The Microsemi acquisition brought FPGA capabilities now driving data center growth (+97.8% YoY). AI Deployment (0/2): No AI-powered products shipping to customers; the company's FY2026 10-K discloses restrictions on employee AI tool usage and warns of regulatory uncertainty around AI [2]. AI-assisted chip design tools from Cadence and Synopsys are external threats, not internal deployments. Market Share (1/2): Microchip holds meaningful positions in 8-bit and 16-bit MCUs and timing solutions, but faces intense competition from Texas Instruments, NXP, STMicroelectronics, and Infineon across its product portfolio; revenue of $4.71B in FY2026 remains 44% below the $8.44B peak, indicating share or demand loss during the downcycle [1]. Product Pipeline (1/2): Data center FPGA products driving 97.8% revenue growth, and next-generation embedded processors are in development, but specific next-gen product names and launch timelines are not publicly disclosed [1]. R&amp;D Intensity (1/1): Semiconductor companies typically invest 15-20% of revenue in R&amp;D; Microchip's investment in silicon IP, FPGA architectures, and embedded security maintains competitive R&amp;D intensity.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Microchip's stated purpose — providing 'smart, connected, and secure embedded control solutions' — is functional and describes what the company does rather than why it exists. Under returning CEO Steve Sanghi, the articulated goal was to 'return the company to growth in revenue and profitability and enhance stockholder value,' which is quintessentially profit-oriented rather than purpose-driven [3]. Community Impact (1/2): Microchip published a sustainability report emphasizing environmental stewardship and social impact, achieved Responsible Business Alliance (RBA) Full Member status in FY2023, and maintains environmental programs across its manufacturing facilities [4]. However, no specific charitable foundation, community investment dollar amounts, or distinctive social programs were identified. Employee Retention (1/2): Glassdoor reviews show a mixed picture — long-tenured engineers praise the culture and work-life balance ('great company, great people'), while others cite low pay, rare promotions, withheld bonuses, and an 'outdated culture' [2]. No specific voluntary turnover rates or average tenure data are publicly available. Insider Buying (0/2): No evidence of meaningful net insider buying; Steve Sanghi's return as interim CEO from the board chair role signals confidence but does not constitute personal equity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The cyclical revenue recovery drives strong growth metrics: revenue growth of 38% YoY scores 1.0, with Q1 FY2027 sales of $1.485B up 38% from $1.08B a year ago [1]. Forward P/E of 16.5x is well below the 20x target (score 1.0), and D/E of 83.7% is modestly above the 70% target (score 0.94). Dividend continuity is the strongest dimension: 24 consecutive years of dividend payments (score 1.0, 2x weight) and approximately 22 consecutive years of dividend growth (score 1.0) with a 5-year dividend CAGR of 14.4% (score 1.0, 2x weight). Weaknesses include the 267.6% payout ratio (score 0.0) as the dividend far exceeds depressed earnings, ROE of just 7.2% against a 15% target (score 0.48), profit margin of 9.3% against 20% (score 0.47), and the 5-year revenue CAGR of -2.2% (score 0.19) reflecting the peak-to-trough cycle from $8.44B to $4.71B. Daily dollar volume of $703.9M provides ample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Microchip Technology operates with a predominantly finite mindset under Steve Sanghi's return as CEO, focused on navigating the cyclical recovery and returning to profitability rather than advancing a transformative vision. The company's stated goal of 'returning to growth in revenue and profitability and enhancing stockholder value' is the language of a finite player optimizing for near-term metrics. While Microchip has shown incremental flexibility through strategic acquisitions and maintained investment through the downcycle, it lacks the Just Cause, competitive learning mindset, and organizational trust that characterize infinite game players.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Microchip's articulated purpose is functional — providing embedded control solutions — without a vision of a future state worth sacrificing for. Steve Sanghi's stated goal upon returning as interim CEO was to 'return the company to growth in revenue and profitability and enhance stockholder value' [3], which is the quintessential finite player's objective. The company exists to manufacture chips and return capital, not to advance a cause that transcends its products.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reviews present a mixed picture of organizational trust. Long-tenured employees describe supportive managers, good work-life balance, and a collaborative engineering culture [2]. However, recent reviews cite low pay relative to industry peers, rare promotions, withheld bonuses, and an 'outdated culture' that struggles to adapt. Sanghi's return as CEO bypassed the normal succession process after Moorthy's sudden retirement, and the COO departed in August 2026, suggesting some leadership instability [3]. Significant workforce reductions during the revenue downturn (from larger headcount to 17,900) eroded the circle of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 worthy rivals mindset in Microchip's competitive positioning. The company's competitive language focuses on market share, product breadth, and 'total system solutions' rather than acknowledging competitors' strengths or using competitive pressure as motivation for self-improvement. Management commentary emphasizes winning design-ins against Texas Instruments, NXP, and STMicroelectronics rather than learning from their capabilities.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Microchip evolved from a pure-play microcontroller company to a broad embedded solutions provider through the Atmel ($3.6B, 2016) and Microsemi ($8.4B, 2018) acquisitions, adding FPGAs, timing, and analog capabilities [3]. These were significant but incremental expansions into adjacent markets rather than transformative reinventions. The company's business model — design, manufacture, and sell embedded semiconductors — has remained fundamentally unchanged for 37 years.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Microchip maintained its quarterly dividend of $0.455 through the severe downcycle despite an unsustainable 267.6% payout ratio, demonstrating commitment to shareholders even when earnings collapsed from $2.24B (FY2023) to break-even (FY2025) [1]. The company also sustained R&amp;D investment while revenue fell 48% from peak to trough. However, the decision to maintain the dividend at the cost of balance sheet flexibility and free cash flow is debatable as courageous versus financially imprudent, and no examples of leadership sacrificing profitable business lines for long-term capability were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Microchip Technology at $75.55 with a $41B market cap is in the early innings of a cyclical recovery after enduring a brutal downcycle that saw revenue fall 48% from $8.44B (FY2023) to $4.40B (FY2025). Q1 FY2027 revenue of $1.485B grew 38% YoY and 13.2% sequentially, beating the high end of guidance, with data center revenue surging 97.8% and adjusted EPS of $0.76 up 181.5% from the prior year [1]. Management guided September quarter revenue up 7-9% sequentially (~40% YoY), suggesting sustained momentum. At 16.5x forward earnings and a PEG of 0.23, the stock is priced attractively relative to the recovery trajectory, with analyst consensus targets at $107.84 (43% upside). The 24-year dividend track record with a 14.4% 5-year growth CAGR provides income stability, and the Inspire Alignment score of +55 reflects strong ethical governance.</w:t>
      </w:r>
    </w:p>
    <w:p>
      <w:pPr>
        <w:spacing w:after="120"/>
      </w:pPr>
      <w:r>
        <w:rPr>
          <w:rFonts w:ascii="Calibri" w:hAnsi="Calibri"/>
          <w:b w:val="0"/>
          <w:color w:val="3A4A28"/>
          <w:sz w:val="20"/>
        </w:rPr>
        <w:t>The bear case centers on cyclical fragility and unsustainable capital allocation. The 267.6% payout ratio means Microchip is paying dividends from its balance sheet, not from earnings — annual dividend payments of approximately $988M dwarf the $230M in FY2026 net income [1]. Total debt of $5.4B against just $272M in cash creates balance sheet vulnerability if the recovery stalls. The 5-year revenue CAGR of -2.2% reveals that the current recovery is restoring revenue previously lost, not creating organic growth — FY2026 revenue of $4.71B remains 44% below the FY2023 peak. AI-assisted chip design tools threaten to commoditize Microchip's embedded controller design advantage by lowering barriers for competitors [2]. Profit margin of 9.3% is well below the 20% historical norm, and ROE of 7.2% suggests capital efficiency has not yet normalized. Steve Sanghi's return as CEO at age 70+ raises succession uncertainty for a company that just experienced an abrupt CEO transition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Cyclical revenue recovery accelerating with Q1 FY2027 up 38% YoY and September quarter guided for 7-9% sequential growth, driven by inventory normalization and end-market demand recovery across automotive, industrial, and data center segments [1]</w:t>
      </w:r>
    </w:p>
    <w:p>
      <w:pPr>
        <w:spacing w:before="40" w:after="40"/>
        <w:ind w:left="283"/>
      </w:pPr>
      <w:r>
        <w:rPr>
          <w:rFonts w:ascii="Calibri" w:hAnsi="Calibri"/>
          <w:b/>
          <w:color w:val="4A6B25"/>
          <w:sz w:val="20"/>
        </w:rPr>
        <w:t xml:space="preserve">2. </w:t>
      </w:r>
      <w:r>
        <w:rPr>
          <w:rFonts w:ascii="Calibri" w:hAnsi="Calibri"/>
          <w:b w:val="0"/>
          <w:color w:val="3A4A28"/>
          <w:sz w:val="20"/>
        </w:rPr>
        <w:t>Data center FPGA revenue growing 97.8% YoY as AI infrastructure buildout creates new demand vectors for Microchip's PolarFire and other FPGA products, potentially establishing a durable growth engine beyond the cyclical recovery [1]</w:t>
      </w:r>
    </w:p>
    <w:p>
      <w:pPr>
        <w:spacing w:before="40" w:after="40"/>
        <w:ind w:left="283"/>
      </w:pPr>
      <w:r>
        <w:rPr>
          <w:rFonts w:ascii="Calibri" w:hAnsi="Calibri"/>
          <w:b/>
          <w:color w:val="4A6B25"/>
          <w:sz w:val="20"/>
        </w:rPr>
        <w:t xml:space="preserve">3. </w:t>
      </w:r>
      <w:r>
        <w:rPr>
          <w:rFonts w:ascii="Calibri" w:hAnsi="Calibri"/>
          <w:b w:val="0"/>
          <w:color w:val="3A4A28"/>
          <w:sz w:val="20"/>
        </w:rPr>
        <w:t>Analyst consensus price target of $107.84 implies 43% upside, with a PEG of 0.23 suggesting the market has not yet priced in the full earnings recovery trajectory as margins normalize toward historical levels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Unsustainable 267.6% payout ratio — annual dividend payments of ~$988M dwarf FY2026 net income of $230M, funded by $5.4B in total debt against only $272M in cash, creating balance sheet vulnerability if the cyclical recovery falters or reverses [1]</w:t>
      </w:r>
    </w:p>
    <w:p>
      <w:pPr>
        <w:spacing w:before="40" w:after="40"/>
        <w:ind w:left="283"/>
      </w:pPr>
      <w:r>
        <w:rPr>
          <w:rFonts w:ascii="Calibri" w:hAnsi="Calibri"/>
          <w:b/>
          <w:color w:val="4A6B25"/>
          <w:sz w:val="20"/>
        </w:rPr>
        <w:t xml:space="preserve">2. </w:t>
      </w:r>
      <w:r>
        <w:rPr>
          <w:rFonts w:ascii="Calibri" w:hAnsi="Calibri"/>
          <w:b w:val="0"/>
          <w:color w:val="3A4A28"/>
          <w:sz w:val="20"/>
        </w:rPr>
        <w:t>AI-assisted chip design commoditization — tools from Cadence, Synopsys, and emerging startups are compressing the engineering effort required to tape out competitive MCUs, potentially lowering barriers for rival chipmakers including Chinese competitors who could undercut on price [2]</w:t>
      </w:r>
    </w:p>
    <w:p>
      <w:pPr>
        <w:spacing w:before="40" w:after="40"/>
        <w:ind w:left="283"/>
      </w:pPr>
      <w:r>
        <w:rPr>
          <w:rFonts w:ascii="Calibri" w:hAnsi="Calibri"/>
          <w:b/>
          <w:color w:val="4A6B25"/>
          <w:sz w:val="20"/>
        </w:rPr>
        <w:t xml:space="preserve">3. </w:t>
      </w:r>
      <w:r>
        <w:rPr>
          <w:rFonts w:ascii="Calibri" w:hAnsi="Calibri"/>
          <w:b w:val="0"/>
          <w:color w:val="3A4A28"/>
          <w:sz w:val="20"/>
        </w:rPr>
        <w:t>Leadership uncertainty — Steve Sanghi's return as CEO at 70+ following Ganesh Moorthy's abrupt retirement creates succession risk, compounded by COO Rick Simoncic's departure in August 2026, for a company in the midst of a critical cyclical recovery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Microchip's core products — embedded microcontrollers, analog ICs, and FPGAs — are physical semiconductor components that AI cannot substitute; every car, industrial robot, medical device, and IoT sensor requires physical chips regardless of AI advances [1][2]. The company's products are enabling technologies for edge AI applications, and data center FPGA revenue grew 97.8% YoY as AI infrastructure buildout accelerates demand. However, AI-assisted chip design tools from Cadence, Synopsys, and emerging startups are compressing the engineering effort required to tape out competitive MCUs, potentially lowering barriers for rival chipmakers and commoditizing Microchip's design advantage [2]. Score reflects the physical moat tempered by competitive pressure from AI-enabled design automation. AI Opportunity (1/1): Microchip generates quantifiable AI-related revenue through its data center FPGA products, which grew 97.8% YoY in Q1 FY2027, and its embedded security and connectivity products increasingly serve AI edge inference applications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Microchip Technology Q1 FY2027 Earnings — Revenue $1.485B (+38% YoY), Adjusted EPS $0.76 (+181.5%), Data Center Revenue +97.8%, SEC Form 8-K and Seeking Alpha, August 2026</w:t>
      </w:r>
    </w:p>
    <w:p>
      <w:pPr>
        <w:spacing w:before="20" w:after="20"/>
        <w:ind w:left="170"/>
      </w:pPr>
      <w:r>
        <w:rPr>
          <w:rFonts w:ascii="Calibri" w:hAnsi="Calibri"/>
          <w:b/>
          <w:color w:val="4A6B25"/>
          <w:sz w:val="15"/>
        </w:rPr>
        <w:t xml:space="preserve">2. </w:t>
      </w:r>
      <w:r>
        <w:rPr>
          <w:rFonts w:ascii="Calibri" w:hAnsi="Calibri"/>
          <w:b w:val="0"/>
          <w:color w:val="3A4A28"/>
          <w:sz w:val="17"/>
        </w:rPr>
        <w:t>Microchip Technology FY2026 10-K and 10-Q — AI Risk Disclosures, Employee AI Usage Restrictions, Commoditization Risk, SEC EDGAR and Pitchgrade Analysis, 2026</w:t>
      </w:r>
    </w:p>
    <w:p>
      <w:pPr>
        <w:spacing w:before="20" w:after="20"/>
        <w:ind w:left="170"/>
      </w:pPr>
      <w:r>
        <w:rPr>
          <w:rFonts w:ascii="Calibri" w:hAnsi="Calibri"/>
          <w:b/>
          <w:color w:val="4A6B25"/>
          <w:sz w:val="15"/>
        </w:rPr>
        <w:t xml:space="preserve">3. </w:t>
      </w:r>
      <w:r>
        <w:rPr>
          <w:rFonts w:ascii="Calibri" w:hAnsi="Calibri"/>
          <w:b w:val="0"/>
          <w:color w:val="3A4A28"/>
          <w:sz w:val="17"/>
        </w:rPr>
        <w:t>Microchip Technology CEO Transition — Ganesh Moorthy Retirement, Steve Sanghi Return as Interim CEO, Power Electronics News and IR Release, November 2024</w:t>
      </w:r>
    </w:p>
    <w:p>
      <w:pPr>
        <w:spacing w:before="20" w:after="20"/>
        <w:ind w:left="170"/>
      </w:pPr>
      <w:r>
        <w:rPr>
          <w:rFonts w:ascii="Calibri" w:hAnsi="Calibri"/>
          <w:b/>
          <w:color w:val="4A6B25"/>
          <w:sz w:val="15"/>
        </w:rPr>
        <w:t xml:space="preserve">4. </w:t>
      </w:r>
      <w:r>
        <w:rPr>
          <w:rFonts w:ascii="Calibri" w:hAnsi="Calibri"/>
          <w:b w:val="0"/>
          <w:color w:val="3A4A28"/>
          <w:sz w:val="17"/>
        </w:rPr>
        <w:t>Microchip Technology 2023 Sustainability Report — RBA Full Member Status, Environmental Stewardship, GHG Emissions, IR Press Release, 2023</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