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MC</w:t>
      </w:r>
      <w:r>
        <w:rPr>
          <w:rFonts w:ascii="Calibri" w:hAnsi="Calibri"/>
          <w:b/>
          <w:color w:val="1A2010"/>
          <w:sz w:val="40"/>
        </w:rPr>
        <w:t xml:space="preserve">  Moelis &amp; Company</w:t>
      </w:r>
    </w:p>
    <w:p>
      <w:pPr>
        <w:spacing w:after="120"/>
      </w:pPr>
      <w:r>
        <w:rPr>
          <w:rFonts w:ascii="Calibri" w:hAnsi="Calibri"/>
          <w:b/>
          <w:color w:val="6E8450"/>
          <w:sz w:val="18"/>
        </w:rPr>
        <w:t>DIVIDEND SLEEVE · 2026-09-26 · Inspire: 23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NYSE · United States</w:t>
      </w:r>
    </w:p>
    <w:p>
      <w:pPr>
        <w:spacing w:after="80"/>
      </w:pPr>
      <w:r>
        <w:rPr>
          <w:rFonts w:ascii="Calibri" w:hAnsi="Calibri"/>
          <w:b w:val="0"/>
          <w:color w:val="3A4A28"/>
          <w:sz w:val="20"/>
        </w:rPr>
        <w:t>Moelis &amp; Company is a leading global independent investment bank providing strategic advisory services to corporations, financial sponsors, and governments across approximately 20 global offices. Founded by Ken Moelis in 2007 during the financial crisis, the firm specializes in mergers and acquisitions, recapitalizations, restructurings, and other corporate finance advisory services. Navid Mahmoodzadegan succeeded Ken Moelis as CEO effective October 1, 2025 and has publicly pledged to push workaholic 'hazing' culture out of the firm. The firm reported record Q2 2026 revenue of $409.4 million (+12% YoY) and H1 2026 revenue of $729.2 million (+9% YoY), and declared a quarterly dividend of $0.65 per share, an increase from the prior $0.60 rate.</w:t>
      </w:r>
    </w:p>
    <w:p>
      <w:r>
        <w:rPr>
          <w:rFonts w:ascii="Calibri" w:hAnsi="Calibri"/>
          <w:b/>
          <w:color w:val="6E8450"/>
          <w:sz w:val="18"/>
        </w:rPr>
        <w:t>1,416 Employees · https://www.moelis.com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Moelis expanded from pure M&amp;A advisory into restructuring, capital markets, and private capital advisory over the past 5 years, and the CEO transition from founder Ken Moelis to Navid Mahmoodzadegan (Oct. 2025) represents a shift toward a more scaled institutional model, but these are incremental extensions of the advisory model rather than transformative pivots [1]. AI Deployment (1/2): A Banker Innovation Committee oversees AI implementation across the firm for deal analysis and financial modeling, but no AI products are sold externally and no efficiency gains have been quantified publicly [2]. Market Share (1/2): Moelis remains a respected independent advisory player but ranks below Lazard, Evercore, and PJT Partners in league-table position [1]. Product Pipeline (0/2): No specific next-generation advisory products with defined timelines beyond general institutional expansion. R&amp;D Intensity (0/1): Not applicable for an advisory-fee business model.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Moelis's stated commitment to 'fostering a collaborative and entrepreneurial environment that prioritizes exceptional client service and innovation' is generic professional-services language interchangeable with peer advisory firms [2]. Community Impact (0/2): No evidence of distinctive charitable giving or community investment programs beyond standard corporate social responsibility statements. Employee Retention (0/2): New CEO Mahmoodzadegan has publicly pledged to eliminate 'hazing' culture from the firm — a tacit acknowledgment of past cultural problems rather than evidence of strong current retention — and prior reporting described departures of experienced bankers amid the institutional-model shift [2][3]. Insider Buying (0/2): Ken Moelis, now executive chair, has a documented pattern of net share sales rather than purchases; no meaningful open-market insider buying was identified this cycle.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40.96% is well below the 70% target, consistent with the capital-light advisory model. ROE of 41.45% is nearly 3x the 15% target, and Forward P/E of 14.98 is comfortably below the 20 target. Revenue growth YoY of 12% (Q2 2026 record results) clears the 10% target [1]. Profit margin of 14.50% falls short of the 20% ideal, typical for advisory firms with high compensation ratios. Dividend metrics are mixed: the raised $0.65/quarter dividend (2x weight on consecutive years paid and 5yr growth CAGR) reflects renewed confidence, but the estimated ~88% payout ratio on trailing GAAP earnings remains elevated (target ≤40%), pulling down an otherwise strong score.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Moelis remains a fundamentally finite game player — a firm whose purpose is advisory fee generation without a deeper cause. The CEO transition from founder Ken Moelis to Navid Mahmoodzadegan has prioritized scaling the institutional model, though Mahmoodzadegan's public pledge to eliminate 'hazing' culture is a notable, if unproven, act of addressing organizational dysfunction rather than ignoring it. Record Q2 2026 revenue shows the business is performing well financially even amid the cultural transition, but the firm still lacks an articulated Just Cause beyond financial performance.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Moelis was founded on independent, unconflicted financial advice — Ken Moelis left UBS in 2007 to build a firm free from bulge-bracket conflicts — a genuine business-model differentiator but not a Sinek-style Just Cause describing a future state worth sacrificing to advance [1]. The shift toward a scaled institutional model under the new CEO further dilutes this differentiation toward 'be bigger' rather than 'be different.'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New CEO Mahmoodzadegan's explicit public pledge to push 'hazing' out of the firm's culture confirms that a low-trust, high-pressure environment existed under the prior regime [3]. While addressing the problem directly is a positive first step, there is not yet evidence the culture has actually changed, so the environment cannot yet be scored as adequate or high-trust.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The pivot from boutique to institutional scale suggests Moelis is trying to compete with larger independent banks (Lazard, Evercore) by resembling them more closely, rather than using their strengths as motivation to sharpen its own distinctive boutique offering [2] — a 'be bigger to compete' approach that Sinek would characterize as finite.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Founding Moelis during the 2008 financial crisis was a genuine act of existential flexibility, and the firm has since navigated multiple M&amp;A cycles while maintaining an independent, capital-light advisory model [1]. The current institutional-scale pivot is incremental adaptation rather than a transformative reinvention of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Mahmoodzadegan's public commitment to eliminate hazing culture is a costly reputational bet — acknowledging past failures rather than protecting the firm's image — and the board's willingness to raise the dividend to $0.65/quarter even amid cultural transition signals confidence in sustained cash generation [2][3]. This is one meaningful example rather than a demonstrated pattern of costly long-term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Moelis delivered record Q2 2026 revenue of $409.4M (+12% YoY) and H1 2026 revenue of $729.2M (+9% YoY), with the board raising the quarterly dividend to $0.65 per share, signaling confidence in the M&amp;A cycle recovery [1]. The forward P/E of 14.98 with a 4.43% dividend yield and 41.45% ROE offers value for an advisory firm operating with low leverage (D/E 40.96%), and new CEO Mahmoodzadegan's public commitment to reform the firm's workaholic culture addresses a real organizational risk head-on rather than ignoring it [2][3].</w:t>
      </w:r>
    </w:p>
    <w:p>
      <w:pPr>
        <w:spacing w:after="120"/>
      </w:pPr>
      <w:r>
        <w:rPr>
          <w:rFonts w:ascii="Calibri" w:hAnsi="Calibri"/>
          <w:b w:val="0"/>
          <w:color w:val="3A4A28"/>
          <w:sz w:val="20"/>
        </w:rPr>
        <w:t>The bear case centers on cultural transition risk and cyclicality. Mahmoodzadegan's public pledge to remove 'hazing' from the culture is itself an admission that the prior environment was dysfunctional, and it remains unproven whether the institutional-scale pivot will preserve the relationship-driven talent that built the firm's franchise [2][3]. The estimated 88% payout ratio on trailing GAAP earnings leaves thin dividend coverage if deal activity slows, and Ken Moelis's history as a net seller of shares raises alignment questions even as he remains executive chair. AI tools for financial modeling and due diligence could structurally reduce demand for junior bankers over time, and any reversal in the current M&amp;A recovery would quickly compress advisory fee revenue as it has in prior cycles.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H1 2026 revenue and pipeline strength converting into a strong H2, potentially driving full-year results that justify a re-rating from the current 14.98x forward P/E [1]</w:t>
      </w:r>
    </w:p>
    <w:p>
      <w:pPr>
        <w:spacing w:before="40" w:after="40"/>
        <w:ind w:left="283"/>
      </w:pPr>
      <w:r>
        <w:rPr>
          <w:rFonts w:ascii="Calibri" w:hAnsi="Calibri"/>
          <w:b/>
          <w:color w:val="4A6B25"/>
          <w:sz w:val="20"/>
        </w:rPr>
        <w:t xml:space="preserve">2. </w:t>
      </w:r>
      <w:r>
        <w:rPr>
          <w:rFonts w:ascii="Calibri" w:hAnsi="Calibri"/>
          <w:b w:val="0"/>
          <w:color w:val="3A4A28"/>
          <w:sz w:val="20"/>
        </w:rPr>
        <w:t>Successful culture reform under CEO Mahmoodzadegan retaining senior banking talent through the institutional-model transition, preserving the relationship-driven franchise value [2][3]</w:t>
      </w:r>
    </w:p>
    <w:p>
      <w:pPr>
        <w:spacing w:before="40" w:after="40"/>
        <w:ind w:left="283"/>
      </w:pPr>
      <w:r>
        <w:rPr>
          <w:rFonts w:ascii="Calibri" w:hAnsi="Calibri"/>
          <w:b/>
          <w:color w:val="4A6B25"/>
          <w:sz w:val="20"/>
        </w:rPr>
        <w:t xml:space="preserve">3. </w:t>
      </w:r>
      <w:r>
        <w:rPr>
          <w:rFonts w:ascii="Calibri" w:hAnsi="Calibri"/>
          <w:b w:val="0"/>
          <w:color w:val="3A4A28"/>
          <w:sz w:val="20"/>
        </w:rPr>
        <w:t>Continued M&amp;A cycle recovery and expansion into private capital advisory diversifying revenue beyond traditional M&amp;A, reducing cyclical earnings volatility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Unproven culture reform under new leadership — the CEO's public 'hazing' pledge confirms past dysfunction, and failure to retain senior bankers during the institutional-scale pivot would erode the firm's core relationship-driven advantage [2][3]</w:t>
      </w:r>
    </w:p>
    <w:p>
      <w:pPr>
        <w:spacing w:before="40" w:after="40"/>
        <w:ind w:left="283"/>
      </w:pPr>
      <w:r>
        <w:rPr>
          <w:rFonts w:ascii="Calibri" w:hAnsi="Calibri"/>
          <w:b/>
          <w:color w:val="4A6B25"/>
          <w:sz w:val="20"/>
        </w:rPr>
        <w:t xml:space="preserve">2. </w:t>
      </w:r>
      <w:r>
        <w:rPr>
          <w:rFonts w:ascii="Calibri" w:hAnsi="Calibri"/>
          <w:b w:val="0"/>
          <w:color w:val="3A4A28"/>
          <w:sz w:val="20"/>
        </w:rPr>
        <w:t>Elevated ~88% payout ratio on trailing earnings leaves limited dividend cushion if a cyclical M&amp;A downturn compresses fee revenue, as occurred in the 2022-2023 downturn</w:t>
      </w:r>
    </w:p>
    <w:p>
      <w:pPr>
        <w:spacing w:before="40" w:after="40"/>
        <w:ind w:left="283"/>
      </w:pPr>
      <w:r>
        <w:rPr>
          <w:rFonts w:ascii="Calibri" w:hAnsi="Calibri"/>
          <w:b/>
          <w:color w:val="4A6B25"/>
          <w:sz w:val="20"/>
        </w:rPr>
        <w:t xml:space="preserve">3. </w:t>
      </w:r>
      <w:r>
        <w:rPr>
          <w:rFonts w:ascii="Calibri" w:hAnsi="Calibri"/>
          <w:b w:val="0"/>
          <w:color w:val="3A4A28"/>
          <w:sz w:val="20"/>
        </w:rPr>
        <w:t>AI-powered financial modeling and due diligence automation could structurally reduce demand for junior bankers and compress advisory fee pools over time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The core value of M&amp;A advisory is relationship-driven — access to CEOs, boards, and PE sponsors, trusted counsel on complex strategic transactions, and negotiation skill that AI cannot replicate [2]. Regulatory complexity, deal confidentiality, and the bespoke nature of advisory mandates create structural moats. However, AI tools for financial modeling, due diligence, and deal sourcing could reduce demand for junior bankers, pressuring the fee economics of advisory over time, and AI-powered deal-matching platforms represent an emerging competitive threat. No analyst has specifically flagged Moelis for near-term AI disruption. AI Opportunity (0/1): The Banker Innovation Committee deploys AI internally, but no quantifiable AI-related revenue or efficiency gains have been reported publicly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23</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Moelis &amp; Company Q2/H1 2026 Earnings Release — Record Revenue $409.4M, Dividend Increase to $0.65/Share, July 2026</w:t>
      </w:r>
    </w:p>
    <w:p>
      <w:pPr>
        <w:spacing w:before="20" w:after="20"/>
        <w:ind w:left="170"/>
      </w:pPr>
      <w:r>
        <w:rPr>
          <w:rFonts w:ascii="Calibri" w:hAnsi="Calibri"/>
          <w:b/>
          <w:color w:val="4A6B25"/>
          <w:sz w:val="15"/>
        </w:rPr>
        <w:t xml:space="preserve">2. </w:t>
      </w:r>
      <w:r>
        <w:rPr>
          <w:rFonts w:ascii="Calibri" w:hAnsi="Calibri"/>
          <w:b w:val="0"/>
          <w:color w:val="3A4A28"/>
          <w:sz w:val="17"/>
        </w:rPr>
        <w:t>Moelis &amp; Company Banker Innovation Committee and AI Deployment Coverage, 2025-2026</w:t>
      </w:r>
    </w:p>
    <w:p>
      <w:pPr>
        <w:spacing w:before="20" w:after="20"/>
        <w:ind w:left="170"/>
      </w:pPr>
      <w:r>
        <w:rPr>
          <w:rFonts w:ascii="Calibri" w:hAnsi="Calibri"/>
          <w:b/>
          <w:color w:val="4A6B25"/>
          <w:sz w:val="15"/>
        </w:rPr>
        <w:t xml:space="preserve">3. </w:t>
      </w:r>
      <w:r>
        <w:rPr>
          <w:rFonts w:ascii="Calibri" w:hAnsi="Calibri"/>
          <w:b w:val="0"/>
          <w:color w:val="3A4A28"/>
          <w:sz w:val="17"/>
        </w:rPr>
        <w:t>Bloomberg — 'Moelis CEO Mahmoodzadegan Pledges to Push Hazing Out of Banking Culture', June 2025</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MC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