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MDA</w:t>
      </w:r>
      <w:r>
        <w:rPr>
          <w:rFonts w:ascii="Calibri" w:hAnsi="Calibri"/>
          <w:b/>
          <w:color w:val="1A2010"/>
          <w:sz w:val="40"/>
        </w:rPr>
        <w:t xml:space="preserve">  MDA Space Ltd.</w:t>
      </w:r>
    </w:p>
    <w:p>
      <w:pPr>
        <w:spacing w:after="120"/>
      </w:pPr>
      <w:r>
        <w:rPr>
          <w:rFonts w:ascii="Calibri" w:hAnsi="Calibri"/>
          <w:b/>
          <w:color w:val="6E8450"/>
          <w:sz w:val="18"/>
        </w:rPr>
        <w:t>GROWTH SLEEVE · 2026-09-30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Canada</w:t>
      </w:r>
    </w:p>
    <w:p>
      <w:pPr>
        <w:spacing w:after="80"/>
      </w:pPr>
      <w:r>
        <w:rPr>
          <w:rFonts w:ascii="Calibri" w:hAnsi="Calibri"/>
          <w:b w:val="0"/>
          <w:color w:val="3A4A28"/>
          <w:sz w:val="20"/>
        </w:rPr>
        <w:t>MDA Space Ltd. is Canada's largest space technology developer and manufacturer, founded in 1969. The company operates through three business areas: Satellite Systems (communications and Earth observation satellites, 67% of revenue), Robotics &amp; Space Operations (Canadarm technology for NASA and ISS, next-generation SKYMAKER platform), and Geointelligence (satellite imagery and analytics). MDA built the original Canadarm, Canadarm2, and Dextre, and is developing AI-enabled Canadarm3 for the Lunar Gateway. Listed on NYSE following a March 2026 US IPO, the company reported Q2 2026 revenue of $498.6M (+33.6% YoY) and raised full-year guidance to CAD $1.85B midpoint. Market cap is approximately $4.8B with a record backlog of $4B.</w:t>
      </w:r>
    </w:p>
    <w:p>
      <w:r>
        <w:rPr>
          <w:rFonts w:ascii="Calibri" w:hAnsi="Calibri"/>
          <w:b/>
          <w:color w:val="6E8450"/>
          <w:sz w:val="18"/>
        </w:rPr>
        <w:t>3,000 Employees · https://mda.space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MDA has executed multiple successful transformations — from the original Canadarm program through Canadarm2/Dextre on the ISS, and now Canadarm3 for the Lunar Gateway. Satellite Systems grew 41% YoY in Q2 2026 to $313.1M driven by Telesat Lightspeed and Globalstar LEO constellation programs [1][2]. Revenue doubled from ~$808M in 2023 to $1.633B in 2025, with 2026 guidance raised to CAD $1.85B midpoint [1][3]. The US IPO on NYSE in March 2026 opened access to US capital markets and defense contracts. AI Deployment (1/2): MDA is developing AI-based autonomous capabilities for Canadarm2/Dextre on the ISS, and Canadarm3 will incorporate AI-driven autonomous operations for the Lunar Gateway [2]. These represent meaningful AI deployment in mission-critical space applications, though revenue impact is not separately quantified. Market Share (2/2): MDA is the undisputed global leader in space robotics through its Canadarm heritage — no competitor has comparable flight-proven space robotic systems [2]. In satellite systems, MDA is a top-tier prime contractor winning large constellation contracts (Telesat Lightspeed, Globalstar). Product Pipeline (1/2): Canadarm3 for Lunar Gateway, SKYMAKER modular robotics platform, Blue Canyon small satellite integration ($620M acquisition), and expanding US defense contracts provide clear pipeline visibility, though specific revenue targets for new products are not publicly detailed [2]. R&amp;D Intensity (1/1): R&amp;D investment supports autonomous robotics, AI-enabled space systems, and next-generation satellite technology across the LaunchPad Ventures innovation program with 25 core focus areas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MDA's purpose — as a trusted mission partner enabling humanity's expansion into space — is specific, thoughtful, and validated by 57 years of execution from Canadarm through Lunar Gateway [2]. The company's work directly enables scientific discovery, Earth observation for climate monitoring, and space exploration. CEO Mike Greenley's leadership philosophy prioritizes velocity and innovation, and the mission clearly differentiates from peers. Community Impact (1/2): MDA contributes to climate monitoring and disaster management through its Geointelligence segment, and the Canadarm programs advance humanity's space exploration goals [2]. The LaunchPad Ventures program supports innovators in modernizing allied defense capabilities. No specific corporate foundation or major charitable investment programs identified. Employee Retention (1/2): Glassdoor rating of 3.5/5 with 76% of employees recommending MDA [4]. Some reviews describe the culture as mission-driven with strong work-life balance (3.8/5), though others cite management challenges and limited career growth. CEO Mike Greenley has led through the re-listing and growth phase, demonstrating leadership continuity. Insider Buying (0/2): Significant insider selling over the last 12 months — Director John Risley sold $10.5M+, and net insider selling totaled $4.6M [5]. No meaningful insider buying identified. Selling may reflect post-IPO lockup expiry rather than loss of conviction, but cannot score positively.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Valuation has improved significantly with Forward P/E declining to 19.23 from 38.59 at last screen, now just below the 20x target and scoring 1.0 [6]. D/E of 20.01% is well below the 70% target, scoring 1.0 [6]. Revenue growth YoY of 33.6% far exceeds the 10% target, scoring 1.0 [1]. Revenue growth 5yr CAGR of approximately 30% (revenue from ~C$500M in 2021 to C$1.85B guided for 2026) scores 1.0 at 2x weight [3]. ROE of 6.68% remains below the 15% target, scoring 0.45 at 2x weight — reflecting heavy investment phase with capex of $225-275M [6]. Profit margin improved to 5.66% from 2.24% but remains below the 20% target, scoring 0.28 [6]. Estimated forward PEG of ~0.64 (19.23 Forward P/E on ~30% expected growth) scores 1.0 at 2x weight. Weighted sum: 8.17/10 = Infrastructure score of 8. Daily liquidity of ~$44.5M easily passes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MDA demonstrates meaningful infinite game characteristics rooted in its 57-year heritage building Canada's space technology legacy. The 40-year Canadarm journey — from the original Space Shuttle arm through ISS operations to Lunar Gateway — represents the kind of long-term capability building that Sinek celebrates. CEO Greenley's focus on innovation velocity and the company's successful US IPO signal strategic ambition. However, heavy insider selling post-IPO, multiple ownership changes (MDA to Maxar to re-IPO), and the finite nature of government contract cycles temper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MDA's purpose — enabling humanity's expansion into space through robotics, satellites, and Earth observation — is genuine, specific, and validated by 57 years of execution [2]. The Canadarm heritage connects every employee to a cause bigger than profit. Climate monitoring through Geointelligence adds a sustainability dimension. However, MDA has gone through multiple ownership changes, and the purpose has not yet been tested across the current public company's full leadership cycle.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MDA's 3,000+ employees work in a specialized engineering culture with deep domain expertise. Glassdoor rating of 3.5/5 with 76% recommending and 3.8/5 work-life balance indicates adequate organizational health [4]. CEO Greenley's leadership style emphasizes innovation velocity without excessive bureaucracy. However, some Glassdoor reviews cite management challenges and a 'kiss up, kick down' dynamic in certain areas. The private equity ownership period and re-IPO created organizational disruption that may still affect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MDA's competitive approach emphasizes being a 'mission partner' rather than a competitor — the company collaborates with other space companies (Telesat, NASA, CSA, Globalstar) and frames its market position around capability and heritage rather than competitive destruction [2]. CEO Greenley's commentary focuses on the growth of the space economy as a rising tide rather than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MDA has evolved from a government-focused Canadarm contractor to a diversified space technology company spanning commercial satellites (67% of revenue), Earth observation, and space robotics [1][2]. The $620M Blue Canyon acquisition expanded into small satellite manufacturing. The US IPO represents strategic expansion into the world's largest defense market. These are meaningful adaptations but incremental rather than transformative pivots — the company remains fundamentally a space technology integrator.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MDA invested heavily in satellite manufacturing capacity and the SKYMAKER robotics platform during uncertain market conditions, and the US IPO required conviction in global growth potential [1]. Capex guidance of $225-275M for 2026 — resulting in neutral-to-negative free cash flow — demonstrates willingness to invest for long-term capability at the expense of near-term cash flow. The $620M Blue Canyon acquisition was a significant strategic bet. However, these investments are supported by a $4B backlog, making them lower-risk than truly courageous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MDA Space is executing a powerful growth trajectory with Q2 2026 revenue of $498.6M (+33.6% YoY), a raised full-year guidance midpoint of CAD $1.85B, and a record $4B backlog providing 8 quarters of revenue visibility [1][3]. The valuation has become significantly more attractive with Forward P/E declining to 19.2x (from 38.6x at the prior screen) as earnings catch up to revenue growth, and estimated forward PEG of ~0.64 suggests the growth rate more than justifies the current multiple [6]. Revenue doubled from ~$808M in 2023 to $1.633B in 2025, driven by Telesat Lightspeed and Globalstar constellation programs. With D/E of just 20%, $1.1B in total liquidity, and expanding access to US defense markets post-NYSE IPO, MDA has a strong foundation. Canadarm3 for Lunar Gateway positions the company for a multi-decade franchise in cislunar space operations.</w:t>
      </w:r>
    </w:p>
    <w:p>
      <w:pPr>
        <w:spacing w:after="120"/>
      </w:pPr>
      <w:r>
        <w:rPr>
          <w:rFonts w:ascii="Calibri" w:hAnsi="Calibri"/>
          <w:b w:val="0"/>
          <w:color w:val="3A4A28"/>
          <w:sz w:val="20"/>
        </w:rPr>
        <w:t>The bear case centers on profitability and execution risk. Profit margin of 5.66% and ROE of 6.68% remain low, reflecting the heavy investment phase with $225-275M capex keeping free cash flow neutral-to-negative [6]. The stock has declined 15% from $34.26 to $29.64 since the last screen, and significant insider selling ($4.6M net over 12 months, $10.5M+ from Director Risley) raises governance concerns [5]. Backlog concentration in Telesat Lightspeed and Canadarm3 creates program risk — delays, cost overruns, or cancellations in either flagship program would materially impact the revenue trajectory. The Blue Canyon acquisition ($620M) adds integration risk and diluted EPS growth despite strong top-line expansion. The company faces competitive pressure as the space industry grows and new entrants challenge incumbents in satellite manufacturing and Earth observation analytics.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Canadarm3 development for Lunar Gateway represents a multi-decade franchise extension of MDA's most iconic technology, with potential for follow-on contracts as cislunar infrastructure expands and NASA/international partners commit to sustained lunar presence [2]</w:t>
      </w:r>
    </w:p>
    <w:p>
      <w:pPr>
        <w:spacing w:before="40" w:after="40"/>
        <w:ind w:left="283"/>
      </w:pPr>
      <w:r>
        <w:rPr>
          <w:rFonts w:ascii="Calibri" w:hAnsi="Calibri"/>
          <w:b/>
          <w:color w:val="4A6B25"/>
          <w:sz w:val="20"/>
        </w:rPr>
        <w:t xml:space="preserve">2. </w:t>
      </w:r>
      <w:r>
        <w:rPr>
          <w:rFonts w:ascii="Calibri" w:hAnsi="Calibri"/>
          <w:b w:val="0"/>
          <w:color w:val="3A4A28"/>
          <w:sz w:val="20"/>
        </w:rPr>
        <w:t>US market expansion post-NYSE IPO — access to US defense and intelligence contracts through Blue Canyon integration and ITAR-compliant facilities could significantly expand the addressable market beyond traditional Canadian/European customers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as satellite manufacturing scales and revenue mix shifts toward higher-margin programs — Forward P/E of 19.2x versus trailing P/E of 52.9x implies consensus expects significant earnings growth acceleration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Backlog concentration in Telesat Lightspeed and Canadarm3 contracts creates program risk — schedule delays, cost overruns, or cancellations in either flagship program would materially impact revenue trajectory and investor confidence [1]</w:t>
      </w:r>
    </w:p>
    <w:p>
      <w:pPr>
        <w:spacing w:before="40" w:after="40"/>
        <w:ind w:left="283"/>
      </w:pPr>
      <w:r>
        <w:rPr>
          <w:rFonts w:ascii="Calibri" w:hAnsi="Calibri"/>
          <w:b/>
          <w:color w:val="4A6B25"/>
          <w:sz w:val="20"/>
        </w:rPr>
        <w:t xml:space="preserve">2. </w:t>
      </w:r>
      <w:r>
        <w:rPr>
          <w:rFonts w:ascii="Calibri" w:hAnsi="Calibri"/>
          <w:b w:val="0"/>
          <w:color w:val="3A4A28"/>
          <w:sz w:val="20"/>
        </w:rPr>
        <w:t>Profit margin of 5.66% and ROE of 6.68% remain well below peers, and heavy capex ($225-275M) keeps free cash flow neutral-to-negative, creating vulnerability if revenue growth decelerates before profitability improves [6]</w:t>
      </w:r>
    </w:p>
    <w:p>
      <w:pPr>
        <w:spacing w:before="40" w:after="40"/>
        <w:ind w:left="283"/>
      </w:pPr>
      <w:r>
        <w:rPr>
          <w:rFonts w:ascii="Calibri" w:hAnsi="Calibri"/>
          <w:b/>
          <w:color w:val="4A6B25"/>
          <w:sz w:val="20"/>
        </w:rPr>
        <w:t xml:space="preserve">3. </w:t>
      </w:r>
      <w:r>
        <w:rPr>
          <w:rFonts w:ascii="Calibri" w:hAnsi="Calibri"/>
          <w:b w:val="0"/>
          <w:color w:val="3A4A28"/>
          <w:sz w:val="20"/>
        </w:rPr>
        <w:t>Insider selling of $4.6M net over 12 months (Director Risley $10.5M+) post-IPO signals potential overvaluation concerns and governance risk for a company still in investment mode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MDA operates in space technology — building satellites, space robotics, and Earth observation systems. These are physical-world, mission-critical systems with extreme regulatory requirements (ITAR, export controls), decades-long customer relationships (NASA, CSA), and unique engineering expertise that AI cannot substitute [1][2]. Satellite manufacturing involves complex hardware integration, thermal vacuum testing, and launch qualification that are inherently physical processes. The Canadarm heritage represents irreplaceable institutional knowledge in space robotics. AI adoption in aerospace &amp; defense broadly lags several years behind other sectors due to the high-risk, regulated nature of the industry [4]. Scores 7 rather than 8-9 because some Geointelligence analytics could face AI-driven competition from new-space startups processing satellite imagery. AI Opportunity (1/1): MDA is actively deploying AI for autonomous space robotics — Canadarm3 for Lunar Gateway will incorporate AI-driven autonomous operations, and current Canadarm2/Dextre systems are being enhanced with AI capabilities [2]. This represents a flagship AI product embedded in government contracts.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MDA Space Q2 2026 Earnings Release — Revenue $498.6M (+33.6% YoY), Satellite Systems $313.1M (+41%), EBITDA $96.3M, Backlog $4.003B, Guidance Raised to CAD $1.85B Midpoint; July 2026</w:t>
      </w:r>
    </w:p>
    <w:p>
      <w:pPr>
        <w:spacing w:before="20" w:after="20"/>
        <w:ind w:left="170"/>
      </w:pPr>
      <w:r>
        <w:rPr>
          <w:rFonts w:ascii="Calibri" w:hAnsi="Calibri"/>
          <w:b/>
          <w:color w:val="4A6B25"/>
          <w:sz w:val="15"/>
        </w:rPr>
        <w:t xml:space="preserve">2. </w:t>
      </w:r>
      <w:r>
        <w:rPr>
          <w:rFonts w:ascii="Calibri" w:hAnsi="Calibri"/>
          <w:b w:val="0"/>
          <w:color w:val="3A4A28"/>
          <w:sz w:val="17"/>
        </w:rPr>
        <w:t>MDA Space Corporate Overview — Canadarm Heritage, AI Robotics, SKYMAKER Platform, LaunchPad Ventures, CEO Mike Greenley; mda.space,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MDA Space FY2025 Annual Results — Revenue $1.633B (+51.2% YoY), Record Full-Year; Revenue Doubled from $808M in 2023; March 2026</w:t>
      </w:r>
    </w:p>
    <w:p>
      <w:pPr>
        <w:spacing w:before="20" w:after="20"/>
        <w:ind w:left="170"/>
      </w:pPr>
      <w:r>
        <w:rPr>
          <w:rFonts w:ascii="Calibri" w:hAnsi="Calibri"/>
          <w:b/>
          <w:color w:val="4A6B25"/>
          <w:sz w:val="15"/>
        </w:rPr>
        <w:t xml:space="preserve">4. </w:t>
      </w:r>
      <w:r>
        <w:rPr>
          <w:rFonts w:ascii="Calibri" w:hAnsi="Calibri"/>
          <w:b w:val="0"/>
          <w:color w:val="3A4A28"/>
          <w:sz w:val="17"/>
        </w:rPr>
        <w:t>Glassdoor MDA Reviews — Rating 3.5/5, 76% Recommend, Work-Life Balance 3.8/5, Culture 3.4/5; Glassdoor.com,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MDA Space Insider Trading — $4.6M Net Selling 12 Months, Director Risley $10.5M+ in Sales; Simply Wall St, InsiderScreener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MDA Key Statistics: Stock Price $29.64, P/E 52.93, Forward P/E 19.23, D/E 20.01%, ROE 6.68%, Profit Margin 5.66%, Avg Volume 1.5M;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