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MDCX</w:t>
      </w:r>
      <w:r>
        <w:rPr>
          <w:rFonts w:ascii="Calibri" w:hAnsi="Calibri"/>
          <w:b/>
          <w:color w:val="1A2010"/>
          <w:sz w:val="40"/>
        </w:rPr>
        <w:t xml:space="preserve">  Medicus Pharma Ltd.</w:t>
      </w:r>
    </w:p>
    <w:p>
      <w:pPr>
        <w:spacing w:after="120"/>
      </w:pPr>
      <w:r>
        <w:rPr>
          <w:rFonts w:ascii="Calibri" w:hAnsi="Calibri"/>
          <w:b/>
          <w:color w:val="6E8450"/>
          <w:sz w:val="18"/>
        </w:rPr>
        <w:t>GROWTH SLEEVE · 2026-09-01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Canada</w:t>
      </w:r>
    </w:p>
    <w:p>
      <w:pPr>
        <w:spacing w:after="80"/>
      </w:pPr>
      <w:r>
        <w:rPr>
          <w:rFonts w:ascii="Calibri" w:hAnsi="Calibri"/>
          <w:b w:val="0"/>
          <w:color w:val="3A4A28"/>
          <w:sz w:val="20"/>
        </w:rPr>
        <w:t>Medicus Pharma Ltd. is a clinical-stage biopharmaceutical company focused on developing and commercializing therapeutic assets for rare and underserved diseases. Lead product SkinJect is a microneedle drug delivery system targeting basal cell carcinoma and Gorlin Syndrome. The company is pursuing Orphan Drug designation and has integrated an AI-enabled drug development strategy. Incorporated in Canada, listed on NASDAQ with a market cap of approximately $15.6M.</w:t>
      </w:r>
    </w:p>
    <w:p>
      <w:r>
        <w:rPr>
          <w:rFonts w:ascii="Calibri" w:hAnsi="Calibri"/>
          <w:b/>
          <w:color w:val="6E8450"/>
          <w:sz w:val="18"/>
        </w:rPr>
        <w:t>https://www.medicuspharma.com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Pre-revenue clinical-stage biotech with no products launched, no revenue generated, and no commercial milestones achieved [1]. SkinJect has advanced through Phase 2 and is pursuing End-of-Phase 2 FDA discussions, but no product has reached commercialization. AI Deployment (0/2): The company announced an AI-enabled drug development strategy highlighted by CEO Dr. Bokhari on Bloomberg, and a partnership with Reliant AI Inc. for agentic AI clinical data analytics — including dynamic clinical-site selection, patient stratification, and enrollment forecasting [2][3]. However, no AI products are shipping and no AI-driven savings have been quantified; initiatives remain exploratory. Market Share (0/2): Pre-revenue company with $0 in sales and a $15.6M market cap — a micro-cap with no commercial presence [4]. Product Pipeline (1/2): SkinJect for basal cell carcinoma/Gorlin Syndrome is advancing through regulatory discussions, and the Teverelix clinical study represents an additional pipeline asset, but commercial timelines remain distant [3]. R&amp;D Intensity (1/1): As a clinical-stage biotech, R&amp;D is essentially the entire business with all resources directed toward clinical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Focus on rare and underserved diseases (Gorlin Syndrome) implies a purpose beyond pure profit — rare disease drug development serves small patient populations often neglected by larger pharmaceutical companies [3]. However, no formal mission statement was found in public materials. Community Impact (0/2): No evidence of charitable programs, community investment, or foundation activity at this micro-cap scale [1]. Employee Retention (0/2): No employee count, turnover, or tenure data available for this small clinical-stage biotech [1]. Insider Buying (1/2): CEO Dr. Raza Bokhari has committed nearly $14 million in personal capital at $4 per share to advance the company's pipeline, demonstrating significant insider conviction despite the stock now trading at $0.28 — a loss of over 93% on his personal investment [2][4].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1.9M shares x $0.28 stock price = ~$540,000 daily dollar volume, below the $1,000,000 minimum threshold [4][5]. Infrastructure score is automatically 0. Underlying metrics are severely distressed: $0 revenue (pre-revenue clinical-stage), consistent net losses, ROE of approximately -2,865%, and minimal cash remaining against high operating burn [1]. The stock has declined approximately 86% over the past 52 weeks from a high of $3.05 to $0.28, with market cap shrinking to $15.6M [4][5]. The company will likely require additional dilutive capital raises to continue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Medicus Pharma operates with finite game characteristics typical of a clinical-stage biotech focused on near-term survival and capital raising. The rare disease focus (Gorlin Syndrome) provides an implicit purpose, but the business is fundamentally oriented around achieving specific clinical milestones to attract investment. With severely limited cash runway, the company is playing a time-limited game defined by its financing rather than building enduring capability.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Focus on rare diseases (Gorlin Syndrome) implies a cause beyond pure profit — serving underserved patient populations that larger pharma companies often neglect. CEO Dr. Bokhari's direct engagement with Congress for Orphan Drug designation demonstrates commitment to this patient population [3]. However, no formal Just Cause was articulated, and the company's behavior reflects survival imperatives of a pre-revenue biotech rather than a deeply held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count, Glassdoor reviews, or cultural data available for this micro-cap pre-revenue biotech [1]. President/CFO Carolyn Bonner brings nearly 20 years of healthcare experience, and Dr. Faisal Mehmud serves as CMO and CEO of UK subsidiary Antev Limited, but the stock's 86% decline creates an environment of uncertainty that undermines team trust [2][4].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The company's communications focus on its own clinical pipeline and regulatory milestones rather than competitive positioning or acknowledgment of other rare disease developers' strengths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Medicus Pharma has not yet faced the strategic test of needing to pivot from an established business model. The addition of the AI partnership and Teverelix to the pipeline alongside SkinJect represents standard biotech portfolio diversification rather than existential flexibility [2][3].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Dr. Bokhari has committed nearly $14 million in personal capital at $4 per share — now deeply underwater at $0.28 — representing extraordinary personal conviction and willingness to bear disproportionate risk alongside shareholders [2]. Pursuing rare disease drug development with an AI-enabled strategy and Congressional engagement for Orphan Drug designation shows willingness to fight for the company's programs at the policy level [3]. However, courage alone cannot overcome the structural challenges of a pre-revenue biotech with minimal runway.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Medicus Pharma offers speculative binary optionality through its SkinJect Phase 2 clinical program targeting basal cell carcinoma and Gorlin Syndrome, a rare genetic skin cancer predisposition [3]. CEO Dr. Bokhari's commitment of nearly $14 million in personal capital demonstrates exceptional insider conviction, and the AI-enabled drug development strategy could reduce clinical trial costs [2]. Four analysts maintain a Strong Buy rating with a consensus price target of $4.47, implying over 1,600% upside from current levels [4]. Successful Orphan Drug designation would provide regulatory fast-track advantages, tax credits, and 7-year market exclusivity upon potential approval [3].</w:t>
      </w:r>
    </w:p>
    <w:p>
      <w:pPr>
        <w:spacing w:after="120"/>
      </w:pPr>
      <w:r>
        <w:rPr>
          <w:rFonts w:ascii="Calibri" w:hAnsi="Calibri"/>
          <w:b w:val="0"/>
          <w:color w:val="3A4A28"/>
          <w:sz w:val="20"/>
        </w:rPr>
        <w:t>The bear case is dominated by existential financing and clinical risk. The company is pre-revenue with consistent net losses, and the stock has lost approximately 86% over the past year to $0.28, with market cap shrinking to $15.6M [4][5]. Daily dollar volume of approximately $540K falls below the $1M IOWN liquidity floor, making the stock unsuitable for institutional portfolios. Clinical-stage biotechs face high failure rates — the majority of Phase 2 compounds never reach market approval. Any funding raise at the current depressed share price would be massively dilutive to existing shareholders. Despite the CEO's personal conviction, the gap between the $4.47 analyst target and $0.28 market price reflects the market pricing in significant execution and survival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Orphan Drug designation for SkinJect in Gorlin Syndrome, providing regulatory fast-track advantages, tax credits, and 7-year market exclusivity upon potential approval</w:t>
      </w:r>
    </w:p>
    <w:p>
      <w:pPr>
        <w:spacing w:before="40" w:after="40"/>
        <w:ind w:left="283"/>
      </w:pPr>
      <w:r>
        <w:rPr>
          <w:rFonts w:ascii="Calibri" w:hAnsi="Calibri"/>
          <w:b/>
          <w:color w:val="4A6B25"/>
          <w:sz w:val="20"/>
        </w:rPr>
        <w:t xml:space="preserve">2. </w:t>
      </w:r>
      <w:r>
        <w:rPr>
          <w:rFonts w:ascii="Calibri" w:hAnsi="Calibri"/>
          <w:b w:val="0"/>
          <w:color w:val="3A4A28"/>
          <w:sz w:val="20"/>
        </w:rPr>
        <w:t>Phase 2 Skinject clinical data readout and positive End-of-Phase 2 FDA meeting results establishing a clear registrational pathway with defined endpoints and timeline</w:t>
      </w:r>
    </w:p>
    <w:p>
      <w:pPr>
        <w:spacing w:before="40" w:after="40"/>
        <w:ind w:left="283"/>
      </w:pPr>
      <w:r>
        <w:rPr>
          <w:rFonts w:ascii="Calibri" w:hAnsi="Calibri"/>
          <w:b/>
          <w:color w:val="4A6B25"/>
          <w:sz w:val="20"/>
        </w:rPr>
        <w:t xml:space="preserve">3. </w:t>
      </w:r>
      <w:r>
        <w:rPr>
          <w:rFonts w:ascii="Calibri" w:hAnsi="Calibri"/>
          <w:b w:val="0"/>
          <w:color w:val="3A4A28"/>
          <w:sz w:val="20"/>
        </w:rPr>
        <w:t>AI-enabled drug development strategy reducing clinical trial costs and potentially accelerating the Teverelix study timeline through partnerships like Reliant 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financing risk — severely limited cash runway against high operating burn implies imminent need for dilutive capital raise at a depressed $0.28 share price</w:t>
      </w:r>
    </w:p>
    <w:p>
      <w:pPr>
        <w:spacing w:before="40" w:after="40"/>
        <w:ind w:left="283"/>
      </w:pPr>
      <w:r>
        <w:rPr>
          <w:rFonts w:ascii="Calibri" w:hAnsi="Calibri"/>
          <w:b/>
          <w:color w:val="4A6B25"/>
          <w:sz w:val="20"/>
        </w:rPr>
        <w:t xml:space="preserve">2. </w:t>
      </w:r>
      <w:r>
        <w:rPr>
          <w:rFonts w:ascii="Calibri" w:hAnsi="Calibri"/>
          <w:b w:val="0"/>
          <w:color w:val="3A4A28"/>
          <w:sz w:val="20"/>
        </w:rPr>
        <w:t>Liquidity floor violation — approximately $540K daily dollar volume makes the stock untradeable for institutional investors and creates severe price impact risk</w:t>
      </w:r>
    </w:p>
    <w:p>
      <w:pPr>
        <w:spacing w:before="40" w:after="40"/>
        <w:ind w:left="283"/>
      </w:pPr>
      <w:r>
        <w:rPr>
          <w:rFonts w:ascii="Calibri" w:hAnsi="Calibri"/>
          <w:b/>
          <w:color w:val="4A6B25"/>
          <w:sz w:val="20"/>
        </w:rPr>
        <w:t xml:space="preserve">3. </w:t>
      </w:r>
      <w:r>
        <w:rPr>
          <w:rFonts w:ascii="Calibri" w:hAnsi="Calibri"/>
          <w:b w:val="0"/>
          <w:color w:val="3A4A28"/>
          <w:sz w:val="20"/>
        </w:rPr>
        <w:t>Clinical failure risk — pre-revenue biotech with no approved products, $0 revenue, and single-asset concentration, representing potential total investment loss if SkinJect fails Phase 2/3 trials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Medicus Pharma's core business — developing physical pharmaceutical products (SkinJect microneedle drug delivery system) through FDA-regulated clinical trials — involves deeply regulated processes that AI structurally cannot displace [3]. Drug development requires physical clinical trials with real patients, FDA regulatory submissions, and manufacturing of drug products that cannot be substituted by AI. The company's own AI-enabled drug development strategy and partnership with Reliant AI for clinical data analytics demonstrates AI's role as an enabler for trial design and patient stratification rather than a competitive threat [2]. CEO Dr. Bokhari has publicly promoted this AI-as-enabler approach on Bloomberg [2]. AI Opportunity (0/1): No AI revenue generated; the Reliant AI partnership remains at the non-binding LOI stage with no commercial products or quantified savings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StockAnalysis.com — MDCX Stock Price &amp; Overview, financial statistics,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SahmCapital / Barchart — Medicus Pharma CEO Dr. Bokhari Bloomberg interview on AI-Driven Drug Development, CEO Forum participation, February-March 2026</w:t>
      </w:r>
    </w:p>
    <w:p>
      <w:pPr>
        <w:spacing w:before="20" w:after="20"/>
        <w:ind w:left="170"/>
      </w:pPr>
      <w:r>
        <w:rPr>
          <w:rFonts w:ascii="Calibri" w:hAnsi="Calibri"/>
          <w:b/>
          <w:color w:val="4A6B25"/>
          <w:sz w:val="15"/>
        </w:rPr>
        <w:t xml:space="preserve">3. </w:t>
      </w:r>
      <w:r>
        <w:rPr>
          <w:rFonts w:ascii="Calibri" w:hAnsi="Calibri"/>
          <w:b w:val="0"/>
          <w:color w:val="3A4A28"/>
          <w:sz w:val="17"/>
        </w:rPr>
        <w:t>Barchart — Medicus Pharma Biotech Showcase 2026, SkinJect Phase 2 data, Reliant AI partnership, Orphan Drug designation pursuit</w:t>
      </w:r>
    </w:p>
    <w:p>
      <w:pPr>
        <w:spacing w:before="20" w:after="20"/>
        <w:ind w:left="170"/>
      </w:pPr>
      <w:r>
        <w:rPr>
          <w:rFonts w:ascii="Calibri" w:hAnsi="Calibri"/>
          <w:b/>
          <w:color w:val="4A6B25"/>
          <w:sz w:val="15"/>
        </w:rPr>
        <w:t xml:space="preserve">4. </w:t>
      </w:r>
      <w:r>
        <w:rPr>
          <w:rFonts w:ascii="Calibri" w:hAnsi="Calibri"/>
          <w:b w:val="0"/>
          <w:color w:val="3A4A28"/>
          <w:sz w:val="17"/>
        </w:rPr>
        <w:t>TipRanks / CNN Markets — MDCX market cap ($15.6M), analyst consensus ($4.47 target), stock price and volume data,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MDCX quote, 52-week range ($0.25-$3.05), historical price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