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MDLN</w:t>
      </w:r>
      <w:r>
        <w:rPr>
          <w:rFonts w:ascii="Calibri" w:hAnsi="Calibri"/>
          <w:b/>
          <w:color w:val="1A2010"/>
          <w:sz w:val="40"/>
        </w:rPr>
        <w:t xml:space="preserve">  Medline Inc.</w:t>
      </w:r>
    </w:p>
    <w:p>
      <w:pPr>
        <w:spacing w:after="120"/>
      </w:pPr>
      <w:r>
        <w:rPr>
          <w:rFonts w:ascii="Calibri" w:hAnsi="Calibri"/>
          <w:b/>
          <w:color w:val="6E8450"/>
          <w:sz w:val="18"/>
        </w:rPr>
        <w:t>GROWTH SLEEVE · 2026-10-20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NMS · United States</w:t>
      </w:r>
    </w:p>
    <w:p>
      <w:pPr>
        <w:spacing w:after="80"/>
      </w:pPr>
      <w:r>
        <w:rPr>
          <w:rFonts w:ascii="Calibri" w:hAnsi="Calibri"/>
          <w:b w:val="0"/>
          <w:color w:val="3A4A28"/>
          <w:sz w:val="20"/>
        </w:rPr>
        <w:t>Medline manufactures and distributes medical-surgical products serving hospitals, surgery centers, physician offices, post-acute facilities, and nursing homes across two segments: Medline Brand (surgical solutions, front line care, laboratory/diagnostics) and Supply Chain Solutions (third-party distribution, logistics optimization, consulting). The company IPO'd on Nasdaq in December 2025 at a ~$46B valuation backed by Blackstone, Carlyle, and Hellman &amp; Friedman, raising approximately $8B. FY2025 net sales rose 11.5% to $28.4B with net income of $1.2B, and 2026 guidance projects 8-9% organic sales growth with adjusted EBITDA of $3.5-3.6B.</w:t>
      </w:r>
    </w:p>
    <w:p>
      <w:r>
        <w:rPr>
          <w:rFonts w:ascii="Calibri" w:hAnsi="Calibri"/>
          <w:b/>
          <w:color w:val="6E8450"/>
          <w:sz w:val="18"/>
        </w:rPr>
        <w:t>45,000 Employees · https://www.medline.com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Medline expanded from basic medical supplies into a full-solution provider encompassing surgical procedure trays, orthopedic implants, point-of-care testing, and supply chain consulting/logistics services over the past five years, representing incremental line extensions rather than a transformative pivot [1][2]. AI Deployment (0/2): No evidence of AI-powered products shipping to customers or quantified AI-driven cost savings; the company's technology focus remains on traditional supply chain optimization and warehouse management rather than AI-enabled capabilities. Market Share (2/2): Medline is the largest medical-surgical products manufacturer and distributor in North America with $29.9B in TTM revenue, commanding a dominant position across hospital med-surg procurement with supply relationships spanning thousands of healthcare facilities and a product catalog exceeding 300,000 SKUs [1][2]. Product Pipeline (0/2): No specific next-generation products announced with defined timelines; growth strategy centers on cross-selling existing product categories into the installed base and geographic expansion rather than breakthrough product development. R&amp;D Intensity (0/1): As a medical supplies distribution and manufacturing company, R&amp;D spend is below the broader healthcare industry average, with innovation focused on product line extensions and packaging improvements rather than fundamental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Medline's purpose of 'Making healthcare run better' is clear and identifies the company's role in the healthcare ecosystem, but is not distinctive or deeply aspirational — it could describe any healthcare supply chain company and does not articulate a vision of a better future [2]. Community Impact (0/2): The 2023 ESG report references supplier diversity and access to healthcare initiatives, but no specific dollar amounts, foundation programs, or measurable community impact data are publicly available to distinguish Medline's charitable efforts from industry norms [4]. Employee Retention (0/2): No publicly available data on voluntary turnover, average employee tenure, or specific cultural programs; the company employs 45,000 people and was family-founded in 1966, but no evidence distinguishes its retention from industry baselines. Insider Buying (0/2): As a December 2025 IPO with PE sponsors (Blackstone, Carlyle, Hellman &amp; Friedman) still holding significant stakes, insider transactions are dominated by lockup-related dynamics rather than conviction buying; no evidence of meaningful open-market purchases by CEO Jim Boyle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(PEG and 5yr revenue CAGR excluded — company was private until December 2025). D/E of 66.3% sits just below the 70% target (score 1.0), reflecting disciplined post-IPO deleveraging with $12.6B total debt against $2.7B cash [3]. ROE of 4.9% is well below the 15% target (score 0.33, 2x weight), depressed by the PE-inflated equity base carrying significant goodwill from the 2021 leveraged buyout. Revenue growth of 11.6% YoY exceeds the 10% target (score 1.0), with Q4 FY2025 net sales of $7.8B up 14.8% and 2026 guidance of 8-9% organic growth [1]. Forward P/E of 22.3 is modestly above the 20 target (score 0.94), as the market prices in significant earnings normalization from trailing $0.39 EPS to forward $1.58 EPS. Profit margin of 2.3% is typical for medical distribution but far below the 20% target (score 0.12), reflecting the inherently low-margin nature of high-volume med-surg distribution [3]. Daily dollar volume of $271M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Medline demonstrates mixed infinite-game characteristics: a 60-year history as a family-founded healthcare company suggests genuine long-term orientation, but the 2021 PE buyout by Blackstone, Carlyle, and Hellman &amp; Friedman introduced finite-game pressures centered on financial engineering, debt optimization, and the December 2025 IPO exit. The company's purpose of 'Making healthcare run better' is functional rather than aspirational, and the PE ownership structure prioritizes returns over mission.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Mills family founded Medline in 1966 with a genuine commitment to improving healthcare delivery, and the company's 60-year growth from a small medical supplies business to North America's largest med-surg manufacturer/distributor validates multi-generational dedication to the healthcare mission [2]. However, the 2021 sale to PE sponsors for $34B and the subsequent IPO reflect a transition from cause-driven family ownership to returns-driven institutional ownership; the Just Cause has not yet been tested through crisis under the new ownership structure.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Medline employs 45,000 people with a stable organizational structure, and the October 2023 leadership transition promoting Jim Boyle to CEO and Jim Pigott to president/COO from within suggests internal talent development and succession planning [2]. No specific voluntary turnover data, employee survey results, or cultural practices are publicly available to distinguish Medline from industry norms; the PE ownership transition typically introduces cost-cutting pressures that can erode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Medline's management publicly acknowledging competitors' strengths or framing competitive dynamics as motivation for self-improvement; the company's competitive positioning focuses on scale advantages and market share leadership language rather than learning from rivals like Cardinal Health, McKesson, or Owens &amp; Minor.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Medline has incrementally evolved its business model from a small medical supplies manufacturer to a comprehensive healthcare solutions provider, adding surgical solutions, laboratory diagnostics, supply chain consulting, and third-party logistics over decades [2]. The expansion from Medline Brand products to the Supply Chain Solutions segment demonstrates adaptation, though the changes were evolutionary rather than a transformative pivot that redefined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Mills family's decision to invest heavily in manufacturing capacity and distribution infrastructure over decades — building 70+ distribution centers and vertically integrating manufacturing — represents long-term capital allocation that prioritized future capability over short-term returns [1]. However, the PE buyout and IPO structure now prioritize debt service and shareholder returns, and no evidence of the current leadership making costly long-term bets that sacrifice near-term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Medline at $35.19 is a recently public healthcare distribution giant with $29.9B in TTM revenue and a dominant position as North America's largest med-surg manufacturer and distributor. The company's vertically integrated model — manufacturing 300,000+ SKUs across surgical, front line care, and laboratory products while operating 70+ distribution centers — provides structural advantages in procurement efficiency, product margin, and customer stickiness [1][2]. FY2025 net sales grew 11.5% to $28.4B, Q4 revenue surged 14.8% to $7.8B, and 2026 guidance projects 8-9% organic growth with $3.5-3.6B adjusted EBITDA, supporting the earnings normalization thesis from trailing $0.39 EPS to forward $1.58 EPS [1][3].</w:t>
      </w:r>
    </w:p>
    <w:p>
      <w:pPr>
        <w:spacing w:after="120"/>
      </w:pPr>
      <w:r>
        <w:rPr>
          <w:rFonts w:ascii="Calibri" w:hAnsi="Calibri"/>
          <w:b w:val="0"/>
          <w:color w:val="3A4A28"/>
          <w:sz w:val="20"/>
        </w:rPr>
        <w:t>The bear case centers on the PE-loaded capital structure and razor-thin margins. Total debt of $12.6B against $2.7B cash reflects the 2021 leveraged buyout, and the 2.3% profit margin leaves minimal room for error in a business where distribution margins are inherently compressed [3]. The trailing P/E of 90x is misleading due to IPO-related charges, but even the forward P/E of 22x prices in significant earnings recovery that depends on margin expansion in a competitive distribution market where McKesson, Cardinal Health, and Owens &amp; Minor operate at similar scale. Organic growth guidance of 8-9% for 2026 already decelerates from FY2025's 11.5%, and the company faces margin pressure from healthcare cost containment efforts by hospitals and payers [1]. PE sponsor sell-downs post-lockup expiration could create sustained selling pressure on the stock.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normalization from trailing $0.39 EPS to forward $1.58 EPS as IPO-related charges and interest costs stabilize, potentially re-rating the stock from 90x trailing to 22x forward earnings [1][3]</w:t>
      </w:r>
    </w:p>
    <w:p>
      <w:pPr>
        <w:spacing w:before="40" w:after="40"/>
        <w:ind w:left="283"/>
      </w:pPr>
      <w:r>
        <w:rPr>
          <w:rFonts w:ascii="Calibri" w:hAnsi="Calibri"/>
          <w:b/>
          <w:color w:val="4A6B25"/>
          <w:sz w:val="20"/>
        </w:rPr>
        <w:t xml:space="preserve">2. </w:t>
      </w:r>
      <w:r>
        <w:rPr>
          <w:rFonts w:ascii="Calibri" w:hAnsi="Calibri"/>
          <w:b w:val="0"/>
          <w:color w:val="3A4A28"/>
          <w:sz w:val="20"/>
        </w:rPr>
        <w:t>Post-IPO deleveraging from $12.6B total debt using $2.0B operating cash flow and IPO proceeds, with each turn of leverage reduction expanding equity value and reducing interest expense that currently compresses net margins [3]</w:t>
      </w:r>
    </w:p>
    <w:p>
      <w:pPr>
        <w:spacing w:before="40" w:after="40"/>
        <w:ind w:left="283"/>
      </w:pPr>
      <w:r>
        <w:rPr>
          <w:rFonts w:ascii="Calibri" w:hAnsi="Calibri"/>
          <w:b/>
          <w:color w:val="4A6B25"/>
          <w:sz w:val="20"/>
        </w:rPr>
        <w:t xml:space="preserve">3. </w:t>
      </w:r>
      <w:r>
        <w:rPr>
          <w:rFonts w:ascii="Calibri" w:hAnsi="Calibri"/>
          <w:b w:val="0"/>
          <w:color w:val="3A4A28"/>
          <w:sz w:val="20"/>
        </w:rPr>
        <w:t>Cross-selling Medline Brand products into the Supply Chain Solutions customer base to drive margin mix improvement, as proprietary products carry meaningfully higher margins than distributed third-party brands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 sponsor sell-downs by Blackstone, Carlyle, and Hellman &amp; Friedman post-lockup expiration could create sustained technical selling pressure on a $47B market cap stock with limited public float history [1]</w:t>
      </w:r>
    </w:p>
    <w:p>
      <w:pPr>
        <w:spacing w:before="40" w:after="40"/>
        <w:ind w:left="283"/>
      </w:pPr>
      <w:r>
        <w:rPr>
          <w:rFonts w:ascii="Calibri" w:hAnsi="Calibri"/>
          <w:b/>
          <w:color w:val="4A6B25"/>
          <w:sz w:val="20"/>
        </w:rPr>
        <w:t xml:space="preserve">2. </w:t>
      </w:r>
      <w:r>
        <w:rPr>
          <w:rFonts w:ascii="Calibri" w:hAnsi="Calibri"/>
          <w:b w:val="0"/>
          <w:color w:val="3A4A28"/>
          <w:sz w:val="20"/>
        </w:rPr>
        <w:t>Razor-thin 2.3% profit margin leaves no buffer for execution missteps, input cost inflation, or pricing pressure from hospital systems and GPOs (group purchasing organizations) demanding better terms [3]</w:t>
      </w:r>
    </w:p>
    <w:p>
      <w:pPr>
        <w:spacing w:before="40" w:after="40"/>
        <w:ind w:left="283"/>
      </w:pPr>
      <w:r>
        <w:rPr>
          <w:rFonts w:ascii="Calibri" w:hAnsi="Calibri"/>
          <w:b/>
          <w:color w:val="4A6B25"/>
          <w:sz w:val="20"/>
        </w:rPr>
        <w:t xml:space="preserve">3. </w:t>
      </w:r>
      <w:r>
        <w:rPr>
          <w:rFonts w:ascii="Calibri" w:hAnsi="Calibri"/>
          <w:b w:val="0"/>
          <w:color w:val="3A4A28"/>
          <w:sz w:val="20"/>
        </w:rPr>
        <w:t>Healthcare cost containment by hospitals and payers could compress med-surg procurement budgets, pressuring Medline's 8-9% organic growth guidance and limiting pricing power in a competitive distribution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Medline's core business — manufacturing and distributing physical medical products (surgical gloves, wound care, drapes, gowns, diagnostic instruments, orthopedic implants) — is structurally immune to AI substitution; hospitals cannot replace exam gloves or surgical trays with software [1][2]. The distribution network spanning 70+ distribution centers with established procurement relationships across thousands of healthcare facilities provides a physical-infrastructure moat that AI cannot replicate. However, AI-powered supply chain optimization tools from competitors could erode Medline's Supply Chain Solutions value proposition, and AI-driven demand forecasting and automated procurement could commoditize distribution margins over time, preventing a fully IMMUNE rating. Regulatory requirements for medical products (FDA clearance, sterilization standards) add further protection against disruption. AI Opportunity (0/1): No evidence of AI-generated revenue; Medline's technology investments center on traditional supply chain management and warehouse automation rather than AI-powered products or services shipping to healthcare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Medline Q4 FY2025 Earnings Report — $7.8B Net Sales (+14.8% YoY), FY2025 $28.4B Revenue (+11.5%), Net Income $1.2B — Distribution Strategy, Finviz, 2026</w:t>
      </w:r>
    </w:p>
    <w:p>
      <w:pPr>
        <w:spacing w:before="20" w:after="20"/>
        <w:ind w:left="170"/>
      </w:pPr>
      <w:r>
        <w:rPr>
          <w:rFonts w:ascii="Calibri" w:hAnsi="Calibri"/>
          <w:b/>
          <w:color w:val="4A6B25"/>
          <w:sz w:val="15"/>
        </w:rPr>
        <w:t xml:space="preserve">2. </w:t>
      </w:r>
      <w:r>
        <w:rPr>
          <w:rFonts w:ascii="Calibri" w:hAnsi="Calibri"/>
          <w:b w:val="0"/>
          <w:color w:val="3A4A28"/>
          <w:sz w:val="17"/>
        </w:rPr>
        <w:t>Medline S-1 Filing and IPO Prospectus — $8B IPO December 2025, ~$46B Valuation, Blackstone/Carlyle/H&amp;F Sponsors — Nasdaq, MarketScreener, SEC Filings, 2025</w:t>
      </w:r>
    </w:p>
    <w:p>
      <w:pPr>
        <w:spacing w:before="20" w:after="20"/>
        <w:ind w:left="170"/>
      </w:pPr>
      <w:r>
        <w:rPr>
          <w:rFonts w:ascii="Calibri" w:hAnsi="Calibri"/>
          <w:b/>
          <w:color w:val="4A6B25"/>
          <w:sz w:val="15"/>
        </w:rPr>
        <w:t xml:space="preserve">3. </w:t>
      </w:r>
      <w:r>
        <w:rPr>
          <w:rFonts w:ascii="Calibri" w:hAnsi="Calibri"/>
          <w:b w:val="0"/>
          <w:color w:val="3A4A28"/>
          <w:sz w:val="17"/>
        </w:rPr>
        <w:t>Yahoo Finance — MDLN Key Statistics, Forward P/E 22.3, D/E 66.3%, ROE 4.9%, Profit Margin 2.3%,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Medline ESG Report 2023 and SEC Risk Factor Disclosures — Environmental and Social Governance Practices — SEC.gov, Medline Europe,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