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MDU</w:t>
      </w:r>
      <w:r>
        <w:rPr>
          <w:rFonts w:ascii="Calibri" w:hAnsi="Calibri"/>
          <w:b/>
          <w:color w:val="1A2010"/>
          <w:sz w:val="40"/>
        </w:rPr>
        <w:t xml:space="preserve">  MDU Resources Group, Inc.</w:t>
      </w:r>
    </w:p>
    <w:p>
      <w:pPr>
        <w:spacing w:after="120"/>
      </w:pPr>
      <w:r>
        <w:rPr>
          <w:rFonts w:ascii="Calibri" w:hAnsi="Calibri"/>
          <w:b/>
          <w:color w:val="6E8450"/>
          <w:sz w:val="18"/>
        </w:rPr>
        <w:t>DIVIDEND SLEEVE · 2026-09-13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Gas · NYSE · United States</w:t>
      </w:r>
    </w:p>
    <w:p>
      <w:pPr>
        <w:spacing w:after="80"/>
      </w:pPr>
      <w:r>
        <w:rPr>
          <w:rFonts w:ascii="Calibri" w:hAnsi="Calibri"/>
          <w:b w:val="0"/>
          <w:color w:val="3A4A28"/>
          <w:sz w:val="20"/>
        </w:rPr>
        <w:t>MDU Resources Group is a regulated energy delivery company serving approximately 1.2 million customers across 8 states through its electric and natural gas utility subsidiaries (Montana-Dakota Utilities, Cascade Natural Gas, Intermountain Gas, Great Plains Natural Gas) and its pipeline and midstream operations (WBI Energy). The company completed a multi-year strategic transformation in 2023-2024 by spinning off Knife River Corporation (construction materials) and Everus Construction Group (construction services) to become a pure-play regulated energy delivery platform. MDU reported Q2 2026 revenue of $375.2M (+6.8% YoY) and reaffirmed 2026 EPS guidance of $0.93-$1.00 with $560M in planned capital investment.</w:t>
      </w:r>
    </w:p>
    <w:p>
      <w:r>
        <w:rPr>
          <w:rFonts w:ascii="Calibri" w:hAnsi="Calibri"/>
          <w:b/>
          <w:color w:val="6E8450"/>
          <w:sz w:val="18"/>
        </w:rPr>
        <w:t>3,500 Employees · https://www.mdu.com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MDU executed a transformative strategic pivot in 2023-2024, spinning off Knife River and Everus Construction Group to refocus as a pure-play regulated energy delivery company — a bold reshaping that fundamentally altered the company's revenue profile, risk character, and capital allocation priorities [1]. The Bakken East pipeline project and $3.1B capital investment plan for 2026-2030 demonstrate forward-looking infrastructure buildout. AI Deployment (0/2): No evidence of AI-powered products, services, or quantified internal AI-driven cost savings; MDU operates traditional regulated utility infrastructure with SCADA and grid management systems but no AI products shipping to customers [2]. Market Share (0/2): MDU is a regional regulated utility without meaningful market share differentiation; it serves captive franchise territories rather than competing for market share in a contestable market. Product Pipeline (1/2): The Bakken East natural gas pipeline project provides specific next-gen infrastructure with regulatory and construction timelines, and the $560M 2026 capital plan with 1-2% customer growth target gives some forward visibility, but pipeline and utility expansion are incremental, not transformative [1]. R&amp;D Intensity (0/1): Regulated utilities have minimal R&amp;D spend; MDU's capital goes to infrastructure buildout rather than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MDU's vision 'Energizing Lives for a Better Tomorrow' and CORE strategy (Customers &amp; Communities, Operational Excellence, Returns Focused, Employee Driven) identify what the company does and for whom but do not articulate a deeper transformative purpose — the mission is clear and functional but interchangeable with peer utilities [3]. The company was founded by Rolland Heskett with a vision to build a strong America through essential services, which adds heritage depth. Community Impact (1/2): MDU has reported on ESG commitments since 2008, formed a Board-level Environmental and Sustainability Committee in 2019, and serves as a cornerstone employer in rural and semi-rural communities across 8 states, but no specific dollar amounts for philanthropic programs or distinctive community investments were identified [4]. Employee Retention (0/2): Glassdoor ratings of 3.6/5 for culture and values and 68% recommendation rate are average for the industry; some reviews cite 'silo mentality' in management costing production efficiency [2]. No specific retention or tenure data available. Insider Buying (2/2): Meaningful net insider buying with 2 insiders purchasing $660.9K in shares over the last 12 months and zero insider selling, including CFO purchasing 5,000 shares at $16.07, signaling strong management conviction in the post-spinoff strategy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MDU's post-spinoff financial profile shows a well-managed regulated utility with D/E of 98% (slightly above the 70% target but appropriate for a capital-intensive utility), moderate ROE of 7.01% (below the 15% target, typical for regulated returns), and profit margin of 10.15% reflecting regulated rate structures [5]. Revenue growth YoY of 6.8% in Q2 2026 reflects solid utility volume growth, and the 5yr revenue CAGR of ~2.1% reflects the post-spinoff revenue base normalization. Forward P/E of 22.68 is above the 20 target but reasonable for utility sector multiples. The dividend profile is strong with a conservative 36% payout ratio well below the 40% target, 88 consecutive years of dividend payments (maximum score with 2x weight), though consecutive years of growth resets to approximately 2 years post-spinoff and the 5yr dividend growth CAGR is not meaningful due to corporate restructuring. Liquidity floor cleared at $41.1M daily trading value ($21.09 x 1.95M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MDU demonstrates mixed infinite game characteristics — the multi-year strategic transformation (spinning off construction businesses to focus on energy delivery) shows genuine strategic intentionality aligned with a refined purpose, and 88 consecutive years of dividends signal commitment to playing a long game. However, the company's competitive language focuses on returns and growth targets rather than an enduring Just Cause, and Glassdoor reviews suggest average organizational trust with silo mentality concerns. The regulated utility model inherently provides stability but also limits the opportunities for existential flexibility that Sinek values.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MDU's vision 'Energizing Lives for a Better Tomorrow' connects the company's work to community well-being and essential service delivery, and the strategic decision to spin off profitable construction businesses (2023-2024) to refocus on core energy delivery demonstrates that leadership is making strategic decisions traceable to this purpose rather than simply chasing revenue diversification [1]. The 88-year dividend streak and focus on serving rural and semi-rural communities add depth. However, the cause has not been tested through the kind of multi-decade crisis navigation that would earn a 3 — the recent transformation is promising but still unproven.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MDU maintains a stable workforce with consistent leadership and no evidence of mass layoffs or organizational instability. Glassdoor reviews show 68% recommendation rate and 3.6/5 culture rating, which is adequate but not exceptional [2]. Some reviews explicitly cite 'silo mentality' among management that costs the company production efficiency, suggesting departmental barriers to the kind of cross-functional trust Sinek describes. The CEO transition from David Goodin to Nicole Kivisto in 2024 was orderly, indicating institutional maturity in succession planning.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utility operating in franchise territories, MDU faces limited direct competition and its strategic language focuses on operational metrics, returns targets, and growth rates rather than learning from competitors' strengths [1]. The company's CORE strategy emphasizes 'Returns Focused' positioning, which frames success in financial terms rather than improvement-oriented competition. No evidence of management commentary acknowledging worthy rivals or using competitive pressure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MDU's 2023-2024 transformation from a diversified conglomerate (utility + construction materials + construction services) to a pure-play regulated energy delivery company represents meaningful strategic flexibility — the company walked away from billions in construction revenue to sharpen its focus [1]. The Bakken East pipeline project shows continued willingness to evolve. However, the pivot was incremental rather than transformative — MDU moved from 'diversified utility' to 'focused utility' rather than entering an entirely new market or fundamentally reinventing its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spin off Knife River and Everus Construction Group required accepting short-term revenue reduction and market uncertainty in service of long-term strategic clarity — shareholders initially questioned the value of a smaller, pure-play utility [1]. CEO Nicole Kivisto's commitment to $3.1B in capital investment through 2030 and the Bakken East pipeline project represent meaningful long-term bets. However, the spinoffs also simplified the business and reduced complexity risk, so the courage was partially offset by strategic pragmatism.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MDU Resources at 22.68x forward earnings offers a post-transformation regulated utility with strong income characteristics — 88 consecutive years of dividends, a conservative 36% payout ratio with room for increases, and 2.58% current yield supported by $560M annual capital investment driving 1-2% customer growth and 6-8% EPS growth targets [1]. The Q2 2026 revenue of $375.2M (+6.8% YoY) and net income of $21.3M (+55% YoY) demonstrate the focused utility model is delivering improving financial performance. The $3.1B five-year capital plan and Bakken East pipeline project provide visible growth catalysts, while the regulated rate-of-return model offers earnings stability through economic cycles. Meaningful insider buying ($660.9K with zero selling) signals management conviction in the post-spinoff strategy [5].</w:t>
      </w:r>
    </w:p>
    <w:p>
      <w:pPr>
        <w:spacing w:after="120"/>
      </w:pPr>
      <w:r>
        <w:rPr>
          <w:rFonts w:ascii="Calibri" w:hAnsi="Calibri"/>
          <w:b w:val="0"/>
          <w:color w:val="3A4A28"/>
          <w:sz w:val="20"/>
        </w:rPr>
        <w:t>The bear case centers on the post-spinoff growing pains, modest returns, and utility sector valuation headwinds. ROE of 7.01% is well below the 15% target, reflecting regulated return constraints that limit upside even in the best-case scenario. The 5yr revenue CAGR of only 2.1% signals a slow-growth business, and Forward P/E of 22.68 is elevated for a utility with single-digit earnings growth — peer regulated utilities trade at 15-18x forward earnings, suggesting potential overvaluation. The dividend growth trajectory was reset by the 2023-2024 spinoffs, and consecutive growth years stand at only 2 despite the 88-year payment streak. Rising interest rates compress utility valuations by increasing the attractiveness of fixed-income alternatives to dividend stocks. The Bakken East pipeline faces regulatory and environmental approval risks that could delay or derail the project. Q1 2026 revenue declined 10.2% YoY, suggesting seasonal volatility that may mask underlying growth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Bakken East natural gas pipeline project advancing through regulatory approvals, providing a visible long-term growth catalyst with specific construction timelines and revenue contribution potential for the 2027-2029 period [1]</w:t>
      </w:r>
    </w:p>
    <w:p>
      <w:pPr>
        <w:spacing w:before="40" w:after="40"/>
        <w:ind w:left="283"/>
      </w:pPr>
      <w:r>
        <w:rPr>
          <w:rFonts w:ascii="Calibri" w:hAnsi="Calibri"/>
          <w:b/>
          <w:color w:val="4A6B25"/>
          <w:sz w:val="20"/>
        </w:rPr>
        <w:t xml:space="preserve">2. </w:t>
      </w:r>
      <w:r>
        <w:rPr>
          <w:rFonts w:ascii="Calibri" w:hAnsi="Calibri"/>
          <w:b w:val="0"/>
          <w:color w:val="3A4A28"/>
          <w:sz w:val="20"/>
        </w:rPr>
        <w:t>$3.1B capital investment plan for 2026-2030 driving 1-2% annual customer growth and rate base expansion across 8-state service territory, supporting the 6-8% long-term EPS growth objective [1]</w:t>
      </w:r>
    </w:p>
    <w:p>
      <w:pPr>
        <w:spacing w:before="40" w:after="40"/>
        <w:ind w:left="283"/>
      </w:pPr>
      <w:r>
        <w:rPr>
          <w:rFonts w:ascii="Calibri" w:hAnsi="Calibri"/>
          <w:b/>
          <w:color w:val="4A6B25"/>
          <w:sz w:val="20"/>
        </w:rPr>
        <w:t xml:space="preserve">3. </w:t>
      </w:r>
      <w:r>
        <w:rPr>
          <w:rFonts w:ascii="Calibri" w:hAnsi="Calibri"/>
          <w:b w:val="0"/>
          <w:color w:val="3A4A28"/>
          <w:sz w:val="20"/>
        </w:rPr>
        <w:t>Conservative 36% payout ratio provides significant headroom for dividend acceleration — if management targets a 50-60% payout, annual dividend could increase 40-65% from current levels, re-establishing MDU as a dividend growth story post-spinoff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Regulated utility ROE of 7.01% constrains total return potential — rate cases may not keep pace with rising capital costs, and any unfavorable regulatory decisions in key jurisdictions could compress margins further below the industry median [5]</w:t>
      </w:r>
    </w:p>
    <w:p>
      <w:pPr>
        <w:spacing w:before="40" w:after="40"/>
        <w:ind w:left="283"/>
      </w:pPr>
      <w:r>
        <w:rPr>
          <w:rFonts w:ascii="Calibri" w:hAnsi="Calibri"/>
          <w:b/>
          <w:color w:val="4A6B25"/>
          <w:sz w:val="20"/>
        </w:rPr>
        <w:t xml:space="preserve">2. </w:t>
      </w:r>
      <w:r>
        <w:rPr>
          <w:rFonts w:ascii="Calibri" w:hAnsi="Calibri"/>
          <w:b w:val="0"/>
          <w:color w:val="3A4A28"/>
          <w:sz w:val="20"/>
        </w:rPr>
        <w:t>Post-spinoff revenue base of $1.88B TTM is significantly smaller and less diversified than pre-transformation MDU, concentrating risk in regulated utility operations vulnerable to weather patterns, rate case outcomes, and natural gas price volatility [1]</w:t>
      </w:r>
    </w:p>
    <w:p>
      <w:pPr>
        <w:spacing w:before="40" w:after="40"/>
        <w:ind w:left="283"/>
      </w:pPr>
      <w:r>
        <w:rPr>
          <w:rFonts w:ascii="Calibri" w:hAnsi="Calibri"/>
          <w:b/>
          <w:color w:val="4A6B25"/>
          <w:sz w:val="20"/>
        </w:rPr>
        <w:t xml:space="preserve">3. </w:t>
      </w:r>
      <w:r>
        <w:rPr>
          <w:rFonts w:ascii="Calibri" w:hAnsi="Calibri"/>
          <w:b w:val="0"/>
          <w:color w:val="3A4A28"/>
          <w:sz w:val="20"/>
        </w:rPr>
        <w:t>Forward P/E of 22.68 represents a premium to regulated utility peers (15-18x typical) that may not be justified by 6-8% earnings growth, creating downside risk if the interest rate environment remains elevated or growth disappoints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MDU's core business — regulated natural gas distribution, electric generation and distribution, and pipeline operations — is structurally immune to AI disruption [1]. The business involves physical infrastructure (pipelines, substations, distribution networks), deeply regulated rate-of-return economics, and essential service delivery that AI cannot substitute. If anything, AI proliferation increases electricity and natural gas demand through data center power requirements and heating needs. The regulated franchise model with captive customer territories provides an additional structural moat against any form of digital disruption. No analyst commentary identifies AI as a risk factor for MDU's business model. AI Opportunity (0/1): MDU does not generate revenue from AI products or services. While the company may use digital tools for grid management and asset monitoring, there is no quantifiable AI revenue contribution to the business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MDU Resources Q2 2026 Earnings Release — Revenue $375.2M (+6.8% YoY), Net Income $21.3M, EPS $0.10, Reaffirmed 2026 Guidance $0.93-$1.00, July 2026</w:t>
      </w:r>
    </w:p>
    <w:p>
      <w:pPr>
        <w:spacing w:before="20" w:after="20"/>
        <w:ind w:left="170"/>
      </w:pPr>
      <w:r>
        <w:rPr>
          <w:rFonts w:ascii="Calibri" w:hAnsi="Calibri"/>
          <w:b/>
          <w:color w:val="4A6B25"/>
          <w:sz w:val="15"/>
        </w:rPr>
        <w:t xml:space="preserve">2. </w:t>
      </w:r>
      <w:r>
        <w:rPr>
          <w:rFonts w:ascii="Calibri" w:hAnsi="Calibri"/>
          <w:b w:val="0"/>
          <w:color w:val="3A4A28"/>
          <w:sz w:val="17"/>
        </w:rPr>
        <w:t>MDU Resources CEO/Culture/AI Research — Glassdoor 3.6/5 Culture Rating, 68% Recommend, Nicole Kivisto CEO (Jan 2024), No AI Products or Strategy Disclosed,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MDU Resources About Us and Mission — 'Energizing Lives for a Better Tomorrow', CORE Strategy, Founded by Rolland Heskett, mdu.com,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MDU Resources ESG and Sustainability — ESG Reporting Since 2008, Board Environmental and Sustainability Committee Formed 2019, PR Newswire, 2019-2026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MDU Key Statistics: Forward P/E 22.68x, D/E 98%, ROE 7.01%, Profit Margin 10.15%, Dividend Yield 2.58%, Payout Ratio 36%,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